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fintech accelerates validation of trust and transparency amid regulatory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Once dismissed as science fiction, artificial intelligence is now embedded across financial services, reworking how payments are authorised, loans are assessed, markets are traded and customers are served. According to the original report, AI technologies , from machine learning and deep learning to natural language processing , are being used to automate decision‑making, detect fraud in real time and deliver personalised advice at scale, reshaping both front‑line customer experiences and back‑office operations. </w:t>
      </w:r>
      <w:hyperlink r:id="rId9">
        <w:r>
          <w:rPr>
            <w:color w:val="0000EE"/>
            <w:u w:val="single"/>
          </w:rPr>
          <w:t>[1]</w:t>
        </w:r>
      </w:hyperlink>
      <w:hyperlink r:id="rId9">
        <w:r>
          <w:rPr>
            <w:color w:val="0000EE"/>
            <w:u w:val="single"/>
          </w:rPr>
          <w:t>[7]</w:t>
        </w:r>
      </w:hyperlink>
      <w:r/>
    </w:p>
    <w:p>
      <w:r/>
      <w:r>
        <w:t xml:space="preserve">Market data cited in the lead analysis shows rapid commercial expansion: industry forecasts value the global AI‑in‑fintech market in the low billions in the early 2020s and project sustained double‑digit compound annual growth through 2030. North America accounted for the largest early share while Asia Pacific is expected to grow fastest, reflecting regional differences in digital adoption and regulatory approaches. These trends underpin heavy investment in AI platforms and talent across banks, payment firms and fintech challengers. </w:t>
      </w:r>
      <w:hyperlink r:id="rId9">
        <w:r>
          <w:rPr>
            <w:color w:val="0000EE"/>
            <w:u w:val="single"/>
          </w:rPr>
          <w:t>[1]</w:t>
        </w:r>
      </w:hyperlink>
      <w:r/>
    </w:p>
    <w:p>
      <w:r/>
      <w:r>
        <w:t xml:space="preserve">The practical use cases are already wide ranging and increasingly mature. Fraud detection and risk scoring remain the dominant applications, with AI systems analysing transaction patterns and behavioural signals to flag anomalies and reduce losses. Algorithmic trading engines and robo‑advisers use vast alternative datasets to rebalance portfolios and offer automated investment advice. NLP‑driven chatbots and virtual assistants provide 24/7 customer support and personalised budgeting guidance. Intelligent document processing and process automation are trimming manual workflows such as KYC, underwriting and reporting, improving speed and accuracy. The original report lays out these categories as the core ways AI is changing finance. </w:t>
      </w:r>
      <w:hyperlink r:id="rId9">
        <w:r>
          <w:rPr>
            <w:color w:val="0000EE"/>
            <w:u w:val="single"/>
          </w:rPr>
          <w:t>[1]</w:t>
        </w:r>
      </w:hyperlink>
      <w:r/>
    </w:p>
    <w:p>
      <w:r/>
      <w:r>
        <w:t xml:space="preserve">Concrete vendor 사례 reinforce the picture. Stripe’s Radar, introduced in 2016, uses historical transaction data to score risk and has been credited with blocking major attempted fraud; in one cited example the nonprofit Watsi reported blocking around $40 million in attempted fraud using the system. PayPal’s systems combine deep‑learning models, behavioural analytics and anomaly detection to improve detection rates while reducing false positives; academic and industry summaries attribute substantial gains to those investments and to partnerships with automated‑ML vendors such as H2O.ai, which PayPal used to engineer features that materially boosted model performance. Mastercard’s Decision Intelligence evaluates large numbers of data points per transaction to drive millisecond approvals and has reported notable reductions in false declines alongside gains in detection accuracy. Industry data and studies confirm that these AI deployments can process billions of events at sub‑millisecond speeds while materially lowering fraud losses and customer friction. </w:t>
      </w:r>
      <w:hyperlink r:id="rId10">
        <w:r>
          <w:rPr>
            <w:color w:val="0000EE"/>
            <w:u w:val="single"/>
          </w:rPr>
          <w:t>[2]</w:t>
        </w:r>
      </w:hyperlink>
      <w:hyperlink r:id="rId11">
        <w:r>
          <w:rPr>
            <w:color w:val="0000EE"/>
            <w:u w:val="single"/>
          </w:rPr>
          <w:t>[3]</w:t>
        </w:r>
      </w:hyperlink>
      <w:hyperlink r:id="rId12">
        <w:r>
          <w:rPr>
            <w:color w:val="0000EE"/>
            <w:u w:val="single"/>
          </w:rPr>
          <w:t>[6]</w:t>
        </w:r>
      </w:hyperlink>
      <w:hyperlink r:id="rId13">
        <w:r>
          <w:rPr>
            <w:color w:val="0000EE"/>
            <w:u w:val="single"/>
          </w:rPr>
          <w:t>[4]</w:t>
        </w:r>
      </w:hyperlink>
      <w:hyperlink r:id="rId14">
        <w:r>
          <w:rPr>
            <w:color w:val="0000EE"/>
            <w:u w:val="single"/>
          </w:rPr>
          <w:t>[5]</w:t>
        </w:r>
      </w:hyperlink>
      <w:r/>
    </w:p>
    <w:p>
      <w:r/>
      <w:r>
        <w:t xml:space="preserve">That progress, however, sits alongside persistent technical, regulatory and ethical hurdles. The lead report stresses the dependence of model quality on clean, consolidated data and warns that fragmented legacy IT can hamper training and integration. Regulators and compliance teams demand explainability and auditability , an uncomfortable fit for some complex deep‑learning “black boxes” , while bias in historical datasets risks entrenching unfair credit and lending outcomes. Cybersecurity and data‑privacy risks grow as models ingest ever more sensitive customer information, and firms face talent shortages when building the multi‑disciplinary teams needed to design, deploy and monitor production AI. </w:t>
      </w:r>
      <w:hyperlink r:id="rId9">
        <w:r>
          <w:rPr>
            <w:color w:val="0000EE"/>
            <w:u w:val="single"/>
          </w:rPr>
          <w:t>[1]</w:t>
        </w:r>
      </w:hyperlink>
      <w:r/>
    </w:p>
    <w:p>
      <w:r/>
      <w:r>
        <w:t xml:space="preserve">Firms attempting integration are advised to adopt phased, governed approaches: set clear business objectives, assess and remediate data readiness, choose modular technologies that interoperate with existing stacks, keep humans in the loop for critical decisions and establish ethical and explainability controls. The original report presents an eight‑step implementation roadmap that emphasises monitoring, bias audits and regulatory alignment as essential elements of sustainable deployment. These safeguards are framed as necessary to preserve customer trust while enabling automation to scale. </w:t>
      </w:r>
      <w:hyperlink r:id="rId9">
        <w:r>
          <w:rPr>
            <w:color w:val="0000EE"/>
            <w:u w:val="single"/>
          </w:rPr>
          <w:t>[1]</w:t>
        </w:r>
      </w:hyperlink>
      <w:r/>
    </w:p>
    <w:p>
      <w:r/>
      <w:r>
        <w:t xml:space="preserve">Looking ahead, the lead analysis and related industry commentary anticipate deeper “autonomous finance” capabilities, hyper‑personalisation across products and wider adoption of embedded and open‑banking services powered by AI. The report notes that vendors such as the commissioning company position themselves to help clients reach that future: the company claims to deliver AI‑driven fintech platforms that improve performance and revenue metrics and cites a client case reporting substantial gains in app performance, revenue uplift and model accuracy. Readers should treat such vendor assertions as company claims while weighing them against independent performance data and regulatory scrutiny. </w:t>
      </w:r>
      <w:hyperlink r:id="rId9">
        <w:r>
          <w:rPr>
            <w:color w:val="0000EE"/>
            <w:u w:val="single"/>
          </w:rPr>
          <w:t>[1]</w:t>
        </w:r>
      </w:hyperlink>
      <w:hyperlink r:id="rId9">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(MindInventory blog) - Paragraph 1, Paragraph 2, Paragraph 3, Paragraph 5, Paragraph 6, Paragraph 7 </w:t>
      </w:r>
      <w:r/>
    </w:p>
    <w:p>
      <w:pPr>
        <w:pStyle w:val="ListBullet"/>
        <w:spacing w:line="240" w:lineRule="auto"/>
        <w:ind w:left="720"/>
      </w:pPr>
      <w:r/>
      <w:hyperlink r:id="rId9">
        <w:r>
          <w:rPr>
            <w:color w:val="0000EE"/>
            <w:u w:val="single"/>
          </w:rPr>
          <w:t>[7]</w:t>
        </w:r>
      </w:hyperlink>
      <w:r>
        <w:t xml:space="preserve"> (MindInventory blog duplicate) - Paragraph 1, Paragraph 7 </w:t>
      </w:r>
      <w:r/>
    </w:p>
    <w:p>
      <w:pPr>
        <w:pStyle w:val="ListBullet"/>
        <w:spacing w:line="240" w:lineRule="auto"/>
        <w:ind w:left="720"/>
      </w:pPr>
      <w:r/>
      <w:hyperlink r:id="rId10">
        <w:r>
          <w:rPr>
            <w:color w:val="0000EE"/>
            <w:u w:val="single"/>
          </w:rPr>
          <w:t>[2]</w:t>
        </w:r>
      </w:hyperlink>
      <w:r>
        <w:t xml:space="preserve"> (Retail Dive) - Paragraph 4 </w:t>
      </w:r>
      <w:r/>
    </w:p>
    <w:p>
      <w:pPr>
        <w:pStyle w:val="ListBullet"/>
        <w:spacing w:line="240" w:lineRule="auto"/>
        <w:ind w:left="720"/>
      </w:pPr>
      <w:r/>
      <w:hyperlink r:id="rId11">
        <w:r>
          <w:rPr>
            <w:color w:val="0000EE"/>
            <w:u w:val="single"/>
          </w:rPr>
          <w:t>[3]</w:t>
        </w:r>
      </w:hyperlink>
      <w:r>
        <w:t xml:space="preserve"> (Preprints study) - Paragraph 4 </w:t>
      </w:r>
      <w:r/>
    </w:p>
    <w:p>
      <w:pPr>
        <w:pStyle w:val="ListBullet"/>
        <w:spacing w:line="240" w:lineRule="auto"/>
        <w:ind w:left="720"/>
      </w:pPr>
      <w:r/>
      <w:hyperlink r:id="rId12">
        <w:r>
          <w:rPr>
            <w:color w:val="0000EE"/>
            <w:u w:val="single"/>
          </w:rPr>
          <w:t>[6]</w:t>
        </w:r>
      </w:hyperlink>
      <w:r>
        <w:t xml:space="preserve"> (Klover.ai analysis) - Paragraph 4 </w:t>
      </w:r>
      <w:r/>
    </w:p>
    <w:p>
      <w:pPr>
        <w:pStyle w:val="ListBullet"/>
        <w:spacing w:line="240" w:lineRule="auto"/>
        <w:ind w:left="720"/>
      </w:pPr>
      <w:r/>
      <w:hyperlink r:id="rId13">
        <w:r>
          <w:rPr>
            <w:color w:val="0000EE"/>
            <w:u w:val="single"/>
          </w:rPr>
          <w:t>[4]</w:t>
        </w:r>
      </w:hyperlink>
      <w:r>
        <w:t xml:space="preserve"> (SIIT blog) - Paragraph 4, Paragraph 5 </w:t>
      </w:r>
      <w:r/>
    </w:p>
    <w:p>
      <w:pPr>
        <w:pStyle w:val="ListBullet"/>
        <w:spacing w:line="240" w:lineRule="auto"/>
        <w:ind w:left="720"/>
      </w:pPr>
      <w:r/>
      <w:hyperlink r:id="rId14">
        <w:r>
          <w:rPr>
            <w:color w:val="0000EE"/>
            <w:u w:val="single"/>
          </w:rPr>
          <w:t>[5]</w:t>
        </w:r>
      </w:hyperlink>
      <w:r>
        <w:t xml:space="preserve"> (AIloitte article) - Paragraph 4,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https://www.mindinventory.com/blog/ai-in-fintech/</w:t>
        </w:r>
      </w:hyperlink>
      <w:r>
        <w:t xml:space="preserve"> - Please view link - unable to able to access data</w:t>
      </w:r>
      <w:r/>
    </w:p>
    <w:p>
      <w:pPr>
        <w:pStyle w:val="ListNumber"/>
        <w:spacing w:line="240" w:lineRule="auto"/>
        <w:ind w:left="720"/>
      </w:pPr>
      <w:r/>
      <w:hyperlink r:id="rId10">
        <w:r>
          <w:rPr>
            <w:color w:val="0000EE"/>
            <w:u w:val="single"/>
          </w:rPr>
          <w:t>https://www.retaildive.com/news/stripe-strikes-back-at-rising-e-commerce-fraud-with-ai-monitoring/428670/</w:t>
        </w:r>
      </w:hyperlink>
      <w:r>
        <w:t xml:space="preserve"> - In October 2016, Stripe introduced 'Radar', an AI-based e-commerce monitoring suite designed to help merchants block fraudulent transactions. By analysing historical transaction data, Radar assigns values to each transaction, creating a predictive model to assess the likelihood of fraud. In a test case, the nonprofit Watsi was able to block $40 million worth of attempted fraud using this system. This initiative underscores Stripe's commitment to enhancing payment security through advanced AI technologies.</w:t>
      </w:r>
      <w:r/>
    </w:p>
    <w:p>
      <w:pPr>
        <w:pStyle w:val="ListNumber"/>
        <w:spacing w:line="240" w:lineRule="auto"/>
        <w:ind w:left="720"/>
      </w:pPr>
      <w:r/>
      <w:hyperlink r:id="rId11">
        <w:r>
          <w:rPr>
            <w:color w:val="0000EE"/>
            <w:u w:val="single"/>
          </w:rPr>
          <w:t>https://www.preprints.org/manuscript/202502.0278</w:t>
        </w:r>
      </w:hyperlink>
      <w:r>
        <w:t xml:space="preserve"> - This study presents an AI-powered fraud detection system implemented by PayPal, which employs deep learning algorithms to analyse real-time transactions, behavioural analytics to detect unusual spending patterns, and anomaly detection models to flag suspicious login attempts. The system has led to a 50% increase in fraud detection rates while reducing false positives, enabling instant fraud prevention and improving customer experience by decreasing legitimate transaction declines.</w:t>
      </w:r>
      <w:r/>
    </w:p>
    <w:p>
      <w:pPr>
        <w:pStyle w:val="ListNumber"/>
        <w:spacing w:line="240" w:lineRule="auto"/>
        <w:ind w:left="720"/>
      </w:pPr>
      <w:r/>
      <w:hyperlink r:id="rId13">
        <w:r>
          <w:rPr>
            <w:color w:val="0000EE"/>
            <w:u w:val="single"/>
          </w:rPr>
          <w:t>https://siit.co/blog/ai-driven-fraud-detection-in-finance/49747</w:t>
        </w:r>
      </w:hyperlink>
      <w:r>
        <w:t xml:space="preserve"> - Mastercard developed 'Decision Intelligence', an AI-powered fraud detection system that evaluates over 1,000 data points per transaction to assign a dynamic risk score, approving or blocking transactions in milliseconds. This system has resulted in a 50% reduction in false declines and a 30% improvement in fraud detection accuracy, enhancing the user experience during payments.</w:t>
      </w:r>
      <w:r/>
    </w:p>
    <w:p>
      <w:pPr>
        <w:pStyle w:val="ListNumber"/>
        <w:spacing w:line="240" w:lineRule="auto"/>
        <w:ind w:left="720"/>
      </w:pPr>
      <w:r/>
      <w:hyperlink r:id="rId14">
        <w:r>
          <w:rPr>
            <w:color w:val="0000EE"/>
            <w:u w:val="single"/>
          </w:rPr>
          <w:t>https://www.ailoitte.com/insights/how-ai-helps-in-fraud-detection/</w:t>
        </w:r>
      </w:hyperlink>
      <w:r>
        <w:t xml:space="preserve"> - This article discusses the effectiveness of AI-driven fraud detection systems in the financial sector, highlighting implementations by companies like PayPal and Mastercard. These systems process billions of transactions at sub-millisecond speeds, maintaining exceptional accuracy rates. For instance, PayPal's fraud rate is 0.17%, compared to the industry's 1.86%, demonstrating the impact of AI-driven solutions. Mastercard's Decision Intelligence platform processes 143 billion transactions annually while reducing false positives by 85%.</w:t>
      </w:r>
      <w:r/>
    </w:p>
    <w:p>
      <w:pPr>
        <w:pStyle w:val="ListNumber"/>
        <w:spacing w:line="240" w:lineRule="auto"/>
        <w:ind w:left="720"/>
      </w:pPr>
      <w:r/>
      <w:hyperlink r:id="rId12">
        <w:r>
          <w:rPr>
            <w:color w:val="0000EE"/>
            <w:u w:val="single"/>
          </w:rPr>
          <w:t>https://www.klover.ai/paypal-ai-strategy-analysis-of-dominance-in-fintech-ai/</w:t>
        </w:r>
      </w:hyperlink>
      <w:r>
        <w:t xml:space="preserve"> - PayPal has strategically enhanced its internal capabilities through key partnerships, notably with H2O.ai, a leader in automated machine learning. By applying H2O’s Driverless AI platform to its fraud detection problem, PayPal was able to automatically engineer new data features that boosted model accuracy by a significant 6%. This collaboration demonstrates PayPal's commitment to leveraging external innovation to sharpen its competitive edge in the fintech sector.</w:t>
      </w:r>
      <w:r/>
    </w:p>
    <w:p>
      <w:pPr>
        <w:pStyle w:val="ListNumber"/>
        <w:spacing w:line="240" w:lineRule="auto"/>
        <w:ind w:left="720"/>
      </w:pPr>
      <w:r/>
      <w:hyperlink r:id="rId9">
        <w:r>
          <w:rPr>
            <w:color w:val="0000EE"/>
            <w:u w:val="single"/>
          </w:rPr>
          <w:t>https://www.mindinventory.com/blog/ai-in-fintech/</w:t>
        </w:r>
      </w:hyperlink>
      <w:r>
        <w:t xml:space="preserve"> - This article explores how artificial intelligence is revolutionising the fintech industry, highlighting applications such as fraud detection, credit scoring, algorithmic trading, and chat-based customer support. It discusses the benefits of AI in fintech, including operational efficiency, personalised solutions at scale, accuracy in services, robust risk management, enhanced customer satisfaction, and cost savings. The article also addresses challenges like data quality, regulatory compliance, ethical concerns, and the need for transparency in AI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dinventory.com/blog/ai-in-fintech/" TargetMode="External"/><Relationship Id="rId10" Type="http://schemas.openxmlformats.org/officeDocument/2006/relationships/hyperlink" Target="https://www.retaildive.com/news/stripe-strikes-back-at-rising-e-commerce-fraud-with-ai-monitoring/428670/" TargetMode="External"/><Relationship Id="rId11" Type="http://schemas.openxmlformats.org/officeDocument/2006/relationships/hyperlink" Target="https://www.preprints.org/manuscript/202502.0278" TargetMode="External"/><Relationship Id="rId12" Type="http://schemas.openxmlformats.org/officeDocument/2006/relationships/hyperlink" Target="https://www.klover.ai/paypal-ai-strategy-analysis-of-dominance-in-fintech-ai/" TargetMode="External"/><Relationship Id="rId13" Type="http://schemas.openxmlformats.org/officeDocument/2006/relationships/hyperlink" Target="https://siit.co/blog/ai-driven-fraud-detection-in-finance/49747" TargetMode="External"/><Relationship Id="rId14" Type="http://schemas.openxmlformats.org/officeDocument/2006/relationships/hyperlink" Target="https://www.ailoitte.com/insights/how-ai-helps-in-fraud-detec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