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AIFMD 2.0 reshapes EU fund regulation with expanded reporting and new standards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European Union’s overhaul of the Alternative Investment Fund Managers Directive, commonly called AIFMD 2.0, represents a significant escalation in regulatory reporting and transparency for alternative investment fund managers (AIFMs). Published in March 2024 and entering into force in April 2024, the directive must be transposed by member states by 16 April 2026, with the new Annex IV reporting measures effective from 16 April 2027, creating a defined timeline for operational change. </w:t>
      </w:r>
      <w:hyperlink r:id="rId9">
        <w:r>
          <w:rPr>
            <w:color w:val="0000EE"/>
            <w:u w:val="single"/>
          </w:rPr>
          <w:t>[1]</w:t>
        </w:r>
      </w:hyperlink>
      <w:r/>
    </w:p>
    <w:p>
      <w:r/>
      <w:r>
        <w:t xml:space="preserve">At the heart of AIFMD 2.0 is a widening of Annex IV’s remit: where reporting under the first directive was limited to principal markets and material exposures, managers will now be required to disclose all markets, instruments, exposures and assets for each AIF they manage. According to the original report, that shift removes previous discretion and compels materially greater data granularity, asset re‑tagging and the use of standardized market identifiers. </w:t>
      </w:r>
      <w:hyperlink r:id="rId9">
        <w:r>
          <w:rPr>
            <w:color w:val="0000EE"/>
            <w:u w:val="single"/>
          </w:rPr>
          <w:t>[1]</w:t>
        </w:r>
      </w:hyperlink>
      <w:hyperlink r:id="rId10">
        <w:r>
          <w:rPr>
            <w:color w:val="0000EE"/>
            <w:u w:val="single"/>
          </w:rPr>
          <w:t>[2]</w:t>
        </w:r>
      </w:hyperlink>
      <w:r/>
    </w:p>
    <w:p>
      <w:r/>
      <w:r>
        <w:t xml:space="preserve">Leverage reporting is being reworked into a central prudential metric. AIFMD 2.0 introduces a standardised definition of a “leveraged AIF” and requires AIFMs to report total leverage per AIF and to observe member‑state leverage limits where applicable. Industry analysis shows this will demand broader access to underlying market exposure values and tighter integration between portfolio and risk systems to produce consistent leverage calculations. </w:t>
      </w:r>
      <w:hyperlink r:id="rId9">
        <w:r>
          <w:rPr>
            <w:color w:val="0000EE"/>
            <w:u w:val="single"/>
          </w:rPr>
          <w:t>[1]</w:t>
        </w:r>
      </w:hyperlink>
      <w:hyperlink r:id="rId11">
        <w:r>
          <w:rPr>
            <w:color w:val="0000EE"/>
            <w:u w:val="single"/>
          </w:rPr>
          <w:t>[4]</w:t>
        </w:r>
      </w:hyperlink>
      <w:r/>
    </w:p>
    <w:p>
      <w:r/>
      <w:r>
        <w:t xml:space="preserve">Transparency obligations extend to marketing and delegation. AIFMD 2.0 requires disclosure of the specific Member States where AIF units or shares are marketed, increasing visibility of cross‑border distribution activities. Delegation reporting will become far more structured: managers must identify delegates, domiciles, regulatory status, the percentage of assets delegated, personnel oversight and dates of due‑diligence reviews, necessitating new XML schema sections and template fields. The directive signals particular scrutiny on delegation chains to address “letterbox” arrangements. </w:t>
      </w:r>
      <w:hyperlink r:id="rId9">
        <w:r>
          <w:rPr>
            <w:color w:val="0000EE"/>
            <w:u w:val="single"/>
          </w:rPr>
          <w:t>[1]</w:t>
        </w:r>
      </w:hyperlink>
      <w:hyperlink r:id="rId11">
        <w:r>
          <w:rPr>
            <w:color w:val="0000EE"/>
            <w:u w:val="single"/>
          </w:rPr>
          <w:t>[4]</w:t>
        </w:r>
      </w:hyperlink>
      <w:r/>
    </w:p>
    <w:p>
      <w:r/>
      <w:r>
        <w:t xml:space="preserve">The directive also creates a new, dedicated reporting stream for loan‑originating AIFs. Direct‑lending portfolios must be reported at loan level or in a new templated form, reflecting the bespoke rules now governing such strategies and ensuring supervisors receive standardised loan portfolio information. This fills a notable gap left by the original regime. </w:t>
      </w:r>
      <w:hyperlink r:id="rId9">
        <w:r>
          <w:rPr>
            <w:color w:val="0000EE"/>
            <w:u w:val="single"/>
          </w:rPr>
          <w:t>[1]</w:t>
        </w:r>
      </w:hyperlink>
      <w:r/>
    </w:p>
    <w:p>
      <w:r/>
      <w:r>
        <w:t xml:space="preserve">AIFMD 2.0 seeks technical harmonisation across the EU. National differences in reporting format, frequency and transmission are to be replaced by ESMA‑driven implementing technical standards and EU‑wide XML templates; ESMA is mandated to publish those standards and templates by April 16, 2027. The consequence will be centralised transmission of reported data from national competent authorities to an ESMA database, which will in turn require changes to submission workflows, validation rules and platform connectivity. </w:t>
      </w:r>
      <w:hyperlink r:id="rId9">
        <w:r>
          <w:rPr>
            <w:color w:val="0000EE"/>
            <w:u w:val="single"/>
          </w:rPr>
          <w:t>[1]</w:t>
        </w:r>
      </w:hyperlink>
      <w:hyperlink r:id="rId12">
        <w:r>
          <w:rPr>
            <w:color w:val="0000EE"/>
            <w:u w:val="single"/>
          </w:rPr>
          <w:t>[6]</w:t>
        </w:r>
      </w:hyperlink>
      <w:r/>
    </w:p>
    <w:p>
      <w:r/>
      <w:r>
        <w:t xml:space="preserve">Practical implementation challenges are already visible. Case studies and practitioner guidance underline the operational complexity of consolidating disparate data sources, standardising classifications and building automated validation routines, tasks that can be materially resource intensive for firms without dedicated solutions. Specialist compliance and data‑aggregation services have demonstrated the potential to reduce internal workload and accelerate readiness. </w:t>
      </w:r>
      <w:hyperlink r:id="rId13">
        <w:r>
          <w:rPr>
            <w:color w:val="0000EE"/>
            <w:u w:val="single"/>
          </w:rPr>
          <w:t>[3]</w:t>
        </w:r>
      </w:hyperlink>
      <w:hyperlink r:id="rId10">
        <w:r>
          <w:rPr>
            <w:color w:val="0000EE"/>
            <w:u w:val="single"/>
          </w:rPr>
          <w:t>[2]</w:t>
        </w:r>
      </w:hyperlink>
      <w:r/>
    </w:p>
    <w:p>
      <w:r/>
      <w:r>
        <w:t xml:space="preserve">The reforms have particular implications for non‑EU and UK managers. Although the directive does not directly bind UK AIFMs, AIFMD 2.0 will affect UK and other third‑country managers marketing into the EU under national regimes or acting as delegates of EU AIFMs; master‑fund level reporting for non‑EEA and UK AIFMs is already an established requirement in some jurisdictions and is likely to interact with the new EU templates and transmission regime. Legal analysis warns non‑EU sponsors to reassess distribution and delegation models to retain access to European capital. </w:t>
      </w:r>
      <w:hyperlink r:id="rId11">
        <w:r>
          <w:rPr>
            <w:color w:val="0000EE"/>
            <w:u w:val="single"/>
          </w:rPr>
          <w:t>[4]</w:t>
        </w:r>
      </w:hyperlink>
      <w:hyperlink r:id="rId14">
        <w:r>
          <w:rPr>
            <w:color w:val="0000EE"/>
            <w:u w:val="single"/>
          </w:rPr>
          <w:t>[5]</w:t>
        </w:r>
      </w:hyperlink>
      <w:hyperlink r:id="rId15">
        <w:r>
          <w:rPr>
            <w:color w:val="0000EE"/>
            <w:u w:val="single"/>
          </w:rPr>
          <w:t>[7]</w:t>
        </w:r>
      </w:hyperlink>
      <w:r/>
    </w:p>
    <w:p>
      <w:r/>
      <w:r>
        <w:t xml:space="preserve">The path forward is binary: firms that invest now in data architecture, taxonomy alignment, front‑to‑back connectivity and vendor partnerships will be better placed to meet the April 2027 reporting deadline; those that defer face compressed testing windows and potential disruption to marketing approvals. SS&amp;C and other service providers report they are actively adapting products and implementation roadmaps to help clients align with the forthcoming ESMA technical standards, emphasising proactive testing, end‑to‑end validation and governance over delegated reporting chains. </w:t>
      </w:r>
      <w:hyperlink r:id="rId9">
        <w:r>
          <w:rPr>
            <w:color w:val="0000EE"/>
            <w:u w:val="single"/>
          </w:rPr>
          <w:t>[1]</w:t>
        </w:r>
      </w:hyperlink>
      <w:hyperlink r:id="rId13">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(SS&amp;C blog) - Paragraph 1, Paragraph 2, Paragraph 3, Paragraph 4, Paragraph 5, Paragraph 6, Paragraph 9 </w:t>
      </w:r>
      <w:r/>
    </w:p>
    <w:p>
      <w:pPr>
        <w:pStyle w:val="ListBullet"/>
        <w:spacing w:line="240" w:lineRule="auto"/>
        <w:ind w:left="720"/>
      </w:pPr>
      <w:r/>
      <w:hyperlink r:id="rId10">
        <w:r>
          <w:rPr>
            <w:color w:val="0000EE"/>
            <w:u w:val="single"/>
          </w:rPr>
          <w:t>[2]</w:t>
        </w:r>
      </w:hyperlink>
      <w:r>
        <w:t xml:space="preserve"> (JD Supra) - Paragraph 2, Paragraph 7 </w:t>
      </w:r>
      <w:r/>
    </w:p>
    <w:p>
      <w:pPr>
        <w:pStyle w:val="ListBullet"/>
        <w:spacing w:line="240" w:lineRule="auto"/>
        <w:ind w:left="720"/>
      </w:pPr>
      <w:r/>
      <w:hyperlink r:id="rId13">
        <w:r>
          <w:rPr>
            <w:color w:val="0000EE"/>
            <w:u w:val="single"/>
          </w:rPr>
          <w:t>[3]</w:t>
        </w:r>
      </w:hyperlink>
      <w:r>
        <w:t xml:space="preserve"> (Addition Compliance case study) - Paragraph 7, Paragraph 9 </w:t>
      </w:r>
      <w:r/>
    </w:p>
    <w:p>
      <w:pPr>
        <w:pStyle w:val="ListBullet"/>
        <w:spacing w:line="240" w:lineRule="auto"/>
        <w:ind w:left="720"/>
      </w:pPr>
      <w:r/>
      <w:hyperlink r:id="rId11">
        <w:r>
          <w:rPr>
            <w:color w:val="0000EE"/>
            <w:u w:val="single"/>
          </w:rPr>
          <w:t>[4]</w:t>
        </w:r>
      </w:hyperlink>
      <w:r>
        <w:t xml:space="preserve"> (Gibson Dunn) - Paragraph 3, Paragraph 4, Paragraph 8 </w:t>
      </w:r>
      <w:r/>
    </w:p>
    <w:p>
      <w:pPr>
        <w:pStyle w:val="ListBullet"/>
        <w:spacing w:line="240" w:lineRule="auto"/>
        <w:ind w:left="720"/>
      </w:pPr>
      <w:r/>
      <w:hyperlink r:id="rId14">
        <w:r>
          <w:rPr>
            <w:color w:val="0000EE"/>
            <w:u w:val="single"/>
          </w:rPr>
          <w:t>[5]</w:t>
        </w:r>
      </w:hyperlink>
      <w:r>
        <w:t xml:space="preserve"> (AIMA) - Paragraph 8 </w:t>
      </w:r>
      <w:r/>
    </w:p>
    <w:p>
      <w:pPr>
        <w:pStyle w:val="ListBullet"/>
        <w:spacing w:line="240" w:lineRule="auto"/>
        <w:ind w:left="720"/>
      </w:pPr>
      <w:r/>
      <w:hyperlink r:id="rId12">
        <w:r>
          <w:rPr>
            <w:color w:val="0000EE"/>
            <w:u w:val="single"/>
          </w:rPr>
          <w:t>[6]</w:t>
        </w:r>
      </w:hyperlink>
      <w:r>
        <w:t xml:space="preserve"> (CSSF communiqué) - Paragraph 6 </w:t>
      </w:r>
      <w:r/>
    </w:p>
    <w:p>
      <w:pPr>
        <w:pStyle w:val="ListBullet"/>
        <w:spacing w:line="240" w:lineRule="auto"/>
        <w:ind w:left="720"/>
      </w:pPr>
      <w:r/>
      <w:hyperlink r:id="rId15">
        <w:r>
          <w:rPr>
            <w:color w:val="0000EE"/>
            <w:u w:val="single"/>
          </w:rPr>
          <w:t>[7]</w:t>
        </w:r>
      </w:hyperlink>
      <w:r>
        <w:t xml:space="preserve"> (JD Supra: AIFMD II overview)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https://www.ssctech.com/blog/preparing-for-aifmd-2-0-and-the-impact-on-annex-iv-reporting</w:t>
        </w:r>
      </w:hyperlink>
      <w:r>
        <w:t xml:space="preserve"> - Please view link - unable to able to access data</w:t>
      </w:r>
      <w:r/>
    </w:p>
    <w:p>
      <w:pPr>
        <w:pStyle w:val="ListNumber"/>
        <w:spacing w:line="240" w:lineRule="auto"/>
        <w:ind w:left="720"/>
      </w:pPr>
      <w:r/>
      <w:hyperlink r:id="rId10">
        <w:r>
          <w:rPr>
            <w:color w:val="0000EE"/>
            <w:u w:val="single"/>
          </w:rPr>
          <w:t>https://www.jdsupra.com/legalnews/aifmd-refresher-regulatory-reporting-3980781/</w:t>
        </w:r>
      </w:hyperlink>
      <w:r>
        <w:t xml:space="preserve"> - This article provides an overview of the regulatory reporting requirements under Article 24 of the Alternative Investment Fund Managers Directive (AIFMD). It outlines the periodic 'Annex IV' reporting obligations for both EU and non-EU fund managers marketing alternative investment funds in the EU and the UK. The piece details the information required in each Annex IV report, such as the fund's risk profile, asset categories, and stress test results. It also discusses the reporting frequency based on assets under management and leverage, emphasising the importance of timely and accurate reporting to avoid delays in marketing approvals.</w:t>
      </w:r>
      <w:r/>
    </w:p>
    <w:p>
      <w:pPr>
        <w:pStyle w:val="ListNumber"/>
        <w:spacing w:line="240" w:lineRule="auto"/>
        <w:ind w:left="720"/>
      </w:pPr>
      <w:r/>
      <w:hyperlink r:id="rId13">
        <w:r>
          <w:rPr>
            <w:color w:val="0000EE"/>
            <w:u w:val="single"/>
          </w:rPr>
          <w:t>https://addcompliance.com/aifmd-annex-iv-reporting/</w:t>
        </w:r>
      </w:hyperlink>
      <w:r>
        <w:t xml:space="preserve"> - This case study highlights the challenges faced by a fund manager in collating data from multiple sources for Annex IV reporting. Addition Compliance's service team coordinated with various data providers to standardise the information, ensuring it was organised and ready for reporting. The outcome was a more efficient reporting process, significantly reducing the client's workload and allowing their team to focus on core tasks. This example underscores the complexities of Annex IV reporting and the benefits of specialised compliance services in streamlining the process.</w:t>
      </w:r>
      <w:r/>
    </w:p>
    <w:p>
      <w:pPr>
        <w:pStyle w:val="ListNumber"/>
        <w:spacing w:line="240" w:lineRule="auto"/>
        <w:ind w:left="720"/>
      </w:pPr>
      <w:r/>
      <w:hyperlink r:id="rId11">
        <w:r>
          <w:rPr>
            <w:color w:val="0000EE"/>
            <w:u w:val="single"/>
          </w:rPr>
          <w:t>https://www.gibsondunn.com/aifmd-ii-the-impact-of-eu-reforms-on-non-eu-sponsors-accessing-european-capital/</w:t>
        </w:r>
      </w:hyperlink>
      <w:r>
        <w:t xml:space="preserve"> - This article examines the impact of AIFMD II on non-EU sponsors seeking to access European capital. It discusses the expanded Annex IV reporting obligations introduced by AIFMD II, including the removal of limitations focusing on major trades and exposures, and the requirement to report the total amount of leverage employed by the AIF. The piece also highlights the need for detailed information on portfolio management and risk management delegation. The article notes that ESMA is mandated to publish updated reporting templates by 16 April 2027, with compliance required from that date.</w:t>
      </w:r>
      <w:r/>
    </w:p>
    <w:p>
      <w:pPr>
        <w:pStyle w:val="ListNumber"/>
        <w:spacing w:line="240" w:lineRule="auto"/>
        <w:ind w:left="720"/>
      </w:pPr>
      <w:r/>
      <w:hyperlink r:id="rId14">
        <w:r>
          <w:rPr>
            <w:color w:val="0000EE"/>
            <w:u w:val="single"/>
          </w:rPr>
          <w:t>https://www.aima.org/article/aifmd-annex-iv-extended-to-master-fund-level-when-reporting-non-eea-and-uk-aifms.html</w:t>
        </w:r>
      </w:hyperlink>
      <w:r>
        <w:t xml:space="preserve"> - This article discusses the extension of master fund level reporting requirements under AIFMD Annex IV for non-EEA and UK AIFMs. Effective from 29 June, the Financial Conduct Authority (FCA) amended The Investment Funds (FUND) source book to include these requirements. The new reporting obligations apply to 'above threshold' AIFMs reporting on AIFs on a quarterly basis, with the first quarterly Annex IV reports due by 31 July 2017. The article provides guidance on the implementation of these changes and their implications for fund managers.</w:t>
      </w:r>
      <w:r/>
    </w:p>
    <w:p>
      <w:pPr>
        <w:pStyle w:val="ListNumber"/>
        <w:spacing w:line="240" w:lineRule="auto"/>
        <w:ind w:left="720"/>
      </w:pPr>
      <w:r/>
      <w:hyperlink r:id="rId12">
        <w:r>
          <w:rPr>
            <w:color w:val="0000EE"/>
            <w:u w:val="single"/>
          </w:rPr>
          <w:t>https://www.cssf.lu/en/2023/11/reporting-according-to-annex-iv-of-commission-delegated-regulation-eu-no-231-2013-supplementing-directive-2011-61-eu-addition-of-new-rules-and-updates-of-esmas-aifmd-qas/</w:t>
        </w:r>
      </w:hyperlink>
      <w:r>
        <w:t xml:space="preserve"> - This communiqué from the Commission de Surveillance du Secteur Financier (CSSF) outlines the addition of new rules and updates to ESMA’s AIFMD Q&amp;As concerning reporting under Annex IV of Commission Delegated Regulation (EU) No 231/2013. It highlights the implementation of revised IT technical guidance introduced in ESMA’s AIFMD Reporting Technical Guidance – revision 6 document, effective from November 2023. The communiqué also notes updates to the CSSF’s AIFM Reporting – Technical Guidance document, detailing the different feedback files that AIFMs receive and the CSSF’s checks on reporting files.</w:t>
      </w:r>
      <w:r/>
    </w:p>
    <w:p>
      <w:pPr>
        <w:pStyle w:val="ListNumber"/>
        <w:spacing w:line="240" w:lineRule="auto"/>
        <w:ind w:left="720"/>
      </w:pPr>
      <w:r/>
      <w:hyperlink r:id="rId15">
        <w:r>
          <w:rPr>
            <w:color w:val="0000EE"/>
            <w:u w:val="single"/>
          </w:rPr>
          <w:t>https://www.jdsupra.com/legalnews/end-of-the-beginning-aifmd-ii-s-final-2785387/</w:t>
        </w:r>
      </w:hyperlink>
      <w:r>
        <w:t xml:space="preserve"> - This article provides an overview of the final text of AIFMD II, focusing on its impact on UK and other third countries. It discusses the applicability of AIFMD II to UK AIFMs, noting that while the directive does not apply to UK AIFMs, it remains relevant for UK and other non-EU AIFMs marketing in the EU under Article 42 national private placement regimes (NPPR) or acting as delegates of EU AIFMs. The piece highlights new provisions on delegation, annual and regulatory reporting, and investor disclosures, as well as compliance implications for non-EU AIFMs and funds using the NPPR.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sctech.com/blog/preparing-for-aifmd-2-0-and-the-impact-on-annex-iv-reporting" TargetMode="External"/><Relationship Id="rId10" Type="http://schemas.openxmlformats.org/officeDocument/2006/relationships/hyperlink" Target="https://www.jdsupra.com/legalnews/aifmd-refresher-regulatory-reporting-3980781/" TargetMode="External"/><Relationship Id="rId11" Type="http://schemas.openxmlformats.org/officeDocument/2006/relationships/hyperlink" Target="https://www.gibsondunn.com/aifmd-ii-the-impact-of-eu-reforms-on-non-eu-sponsors-accessing-european-capital/" TargetMode="External"/><Relationship Id="rId12" Type="http://schemas.openxmlformats.org/officeDocument/2006/relationships/hyperlink" Target="https://www.cssf.lu/en/2023/11/reporting-according-to-annex-iv-of-commission-delegated-regulation-eu-no-231-2013-supplementing-directive-2011-61-eu-addition-of-new-rules-and-updates-of-esmas-aifmd-qas/" TargetMode="External"/><Relationship Id="rId13" Type="http://schemas.openxmlformats.org/officeDocument/2006/relationships/hyperlink" Target="https://addcompliance.com/aifmd-annex-iv-reporting/" TargetMode="External"/><Relationship Id="rId14" Type="http://schemas.openxmlformats.org/officeDocument/2006/relationships/hyperlink" Target="https://www.aima.org/article/aifmd-annex-iv-extended-to-master-fund-level-when-reporting-non-eea-and-uk-aifms.html" TargetMode="External"/><Relationship Id="rId15" Type="http://schemas.openxmlformats.org/officeDocument/2006/relationships/hyperlink" Target="https://www.jdsupra.com/legalnews/end-of-the-beginning-aifmd-ii-s-final-278538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