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drives fifth consecutive quarter of falling business insurance premiums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Business insurance rates continued to ease through 2025 as rapid adoption of artificial intelligence reshaped underwriting, pricing and claims processes across the sector. According to the original report, global commercial premiums fell 4% in the third quarter of 2025, matching the decline recorded in Q2 and marking the fifth consecutive quarterly drop , the longest downtrend since 2017. </w:t>
      </w:r>
      <w:hyperlink r:id="rId9">
        <w:r>
          <w:rPr>
            <w:color w:val="0000EE"/>
            <w:u w:val="single"/>
          </w:rPr>
          <w:t>[1]</w:t>
        </w:r>
      </w:hyperlink>
      <w:hyperlink r:id="rId10">
        <w:r>
          <w:rPr>
            <w:color w:val="0000EE"/>
            <w:u w:val="single"/>
          </w:rPr>
          <w:t>[2]</w:t>
        </w:r>
      </w:hyperlink>
      <w:r/>
    </w:p>
    <w:p>
      <w:r/>
      <w:r>
        <w:t xml:space="preserve">Industry observers say the softening is being driven by a combination of increased insurer capacity and intensifying competition, which together have translated into more favourable conditions for buyers, particularly well-managed businesses with clean loss histories. Market weakness was visible across regions, including the Pacific, Latin America and the Caribbean, the UK, Asia and India, the Middle East, Africa, Europe and Canada. </w:t>
      </w:r>
      <w:hyperlink r:id="rId9">
        <w:r>
          <w:rPr>
            <w:color w:val="0000EE"/>
            <w:u w:val="single"/>
          </w:rPr>
          <w:t>[1]</w:t>
        </w:r>
      </w:hyperlink>
      <w:hyperlink r:id="rId10">
        <w:r>
          <w:rPr>
            <w:color w:val="0000EE"/>
            <w:u w:val="single"/>
          </w:rPr>
          <w:t>[2]</w:t>
        </w:r>
      </w:hyperlink>
      <w:hyperlink r:id="rId11">
        <w:r>
          <w:rPr>
            <w:color w:val="0000EE"/>
            <w:u w:val="single"/>
          </w:rPr>
          <w:t>[7]</w:t>
        </w:r>
      </w:hyperlink>
      <w:r/>
    </w:p>
    <w:p>
      <w:r/>
      <w:r>
        <w:t xml:space="preserve">The most visible technological force behind the market shift is AI. According to the lead coverage, AI-powered underwriting systems now complete standard policy assessments in a fraction of the time previously required , collapsing a typical 3–5 day process into roughly 12.4 minutes while reportedly maintaining c.99.3% accuracy , enabling faster quotation cycles and lower operating costs for insurers. Industry reports and vendor studies corroborate substantial productivity gains as insurers expand AI use beyond underwriting to pricing and claims management. </w:t>
      </w:r>
      <w:hyperlink r:id="rId9">
        <w:r>
          <w:rPr>
            <w:color w:val="0000EE"/>
            <w:u w:val="single"/>
          </w:rPr>
          <w:t>[1]</w:t>
        </w:r>
      </w:hyperlink>
      <w:hyperlink r:id="rId12">
        <w:r>
          <w:rPr>
            <w:color w:val="0000EE"/>
            <w:u w:val="single"/>
          </w:rPr>
          <w:t>[6]</w:t>
        </w:r>
      </w:hyperlink>
      <w:hyperlink r:id="rId13">
        <w:r>
          <w:rPr>
            <w:color w:val="0000EE"/>
            <w:u w:val="single"/>
          </w:rPr>
          <w:t>[5]</w:t>
        </w:r>
      </w:hyperlink>
      <w:r/>
    </w:p>
    <w:p>
      <w:r/>
      <w:r>
        <w:t xml:space="preserve">Insurers and consultancies report that AI’s analytical capabilities allow more granular risk segmentation and personalised pricing. The technology ingests a wide range of data , financial records, industry patterns, telematics and historical claims , which underpins more tailored coverage options and, in some cases, lower claims costs through better risk selection. One vendor analysis cited a roughly 20% reduction in claims costs tied to telematics-informed underwriting and more precise risk modelling. </w:t>
      </w:r>
      <w:hyperlink r:id="rId9">
        <w:r>
          <w:rPr>
            <w:color w:val="0000EE"/>
            <w:u w:val="single"/>
          </w:rPr>
          <w:t>[1]</w:t>
        </w:r>
      </w:hyperlink>
      <w:hyperlink r:id="rId12">
        <w:r>
          <w:rPr>
            <w:color w:val="0000EE"/>
            <w:u w:val="single"/>
          </w:rPr>
          <w:t>[6]</w:t>
        </w:r>
      </w:hyperlink>
      <w:r/>
    </w:p>
    <w:p>
      <w:r/>
      <w:r>
        <w:t xml:space="preserve">At the same time, the surge in insurtech investment and broader AI experimentation has intensified debate about downstream risks. Reinsurance and industry funding data show substantial flows into AI-focused insurance technology firms, driving innovation but raising concerns about job displacement, potential customer exclusion from automated models, and the emergence of new fraud vectors such as deepfakes. Regulatory and supervisory bodies have flagged algorithmic fairness and oversight as priority issues. </w:t>
      </w:r>
      <w:hyperlink r:id="rId14">
        <w:r>
          <w:rPr>
            <w:color w:val="0000EE"/>
            <w:u w:val="single"/>
          </w:rPr>
          <w:t>[3]</w:t>
        </w:r>
      </w:hyperlink>
      <w:hyperlink r:id="rId15">
        <w:r>
          <w:rPr>
            <w:color w:val="0000EE"/>
            <w:u w:val="single"/>
          </w:rPr>
          <w:t>[4]</w:t>
        </w:r>
      </w:hyperlink>
      <w:r/>
    </w:p>
    <w:p>
      <w:r/>
      <w:r>
        <w:t xml:space="preserve">Major industry surveys and reports suggest the sector is moving toward a hybrid model in which human underwriters work alongside increasingly capable AI agents. A substantial proportion of insurers report active evaluation or early-stage adoption of generative AI tools for document processing, policy language analysis and customer interaction, prompting workforce reskilling and revised cyber risk approaches. Regulators and reinsurers are watching closely as generative AI scales within product and claims workflows. </w:t>
      </w:r>
      <w:hyperlink r:id="rId15">
        <w:r>
          <w:rPr>
            <w:color w:val="0000EE"/>
            <w:u w:val="single"/>
          </w:rPr>
          <w:t>[4]</w:t>
        </w:r>
      </w:hyperlink>
      <w:hyperlink r:id="rId13">
        <w:r>
          <w:rPr>
            <w:color w:val="0000EE"/>
            <w:u w:val="single"/>
          </w:rPr>
          <w:t>[5]</w:t>
        </w:r>
      </w:hyperlink>
      <w:r/>
    </w:p>
    <w:p>
      <w:r/>
      <w:r>
        <w:t xml:space="preserve">For businesses, the present market offers an opportunity to revisit renewal strategies. The soft market and faster AI-enabled quotation processes make it easier to compare offers and seek broader coverage or lower premiums; however, companies should be attentive to underwriting data requirements and the potential for algorithmic thresholds to affect eligibility. Industry data suggests firms that can demonstrate strong risk management stand to gain the most from the current cycle. </w:t>
      </w:r>
      <w:hyperlink r:id="rId9">
        <w:r>
          <w:rPr>
            <w:color w:val="0000EE"/>
            <w:u w:val="single"/>
          </w:rPr>
          <w:t>[1]</w:t>
        </w:r>
      </w:hyperlink>
      <w:hyperlink r:id="rId10">
        <w:r>
          <w:rPr>
            <w:color w:val="0000EE"/>
            <w:u w:val="single"/>
          </w:rPr>
          <w:t>[2]</w:t>
        </w:r>
      </w:hyperlink>
      <w:hyperlink r:id="rId12">
        <w:r>
          <w:rPr>
            <w:color w:val="0000EE"/>
            <w:u w:val="single"/>
          </w:rPr>
          <w:t>[6]</w:t>
        </w:r>
      </w:hyperlink>
      <w:r/>
    </w:p>
    <w:p>
      <w:r/>
      <w:r>
        <w:t xml:space="preserve">The medium-term outlook remains uncertain. After a prolonged period of rate increases driven by catastrophe losses and inflation earlier in the decade, the entry of capacity and AI-driven efficiencies have produced downward pressure on prices; whether those trends persist will depend on future claims experience, regulatory responses to AI, and how competition evolves. Market participants stressed that while AI is reshaping operations and pricing, supervisory scrutiny and the practical limits of automation mean human oversight will remain central to underwriting decisions for the foreseeable future. </w:t>
      </w:r>
      <w:hyperlink r:id="rId11">
        <w:r>
          <w:rPr>
            <w:color w:val="0000EE"/>
            <w:u w:val="single"/>
          </w:rPr>
          <w:t>[7]</w:t>
        </w:r>
      </w:hyperlink>
      <w:hyperlink r:id="rId14">
        <w:r>
          <w:rPr>
            <w:color w:val="0000EE"/>
            <w:u w:val="single"/>
          </w:rPr>
          <w:t>[3]</w:t>
        </w:r>
      </w:hyperlink>
      <w:hyperlink r:id="rId13">
        <w:r>
          <w:rPr>
            <w:color w:val="0000EE"/>
            <w:u w:val="single"/>
          </w:rPr>
          <w:t>[5]</w:t>
        </w:r>
      </w:hyperlink>
      <w:hyperlink r:id="rId15">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(Red94) - Paragraph 1, Paragraph 3, Paragraph 4, Paragraph 7 </w:t>
      </w:r>
      <w:r/>
    </w:p>
    <w:p>
      <w:pPr>
        <w:pStyle w:val="ListBullet"/>
        <w:spacing w:line="240" w:lineRule="auto"/>
        <w:ind w:left="720"/>
      </w:pPr>
      <w:r/>
      <w:hyperlink r:id="rId10">
        <w:r>
          <w:rPr>
            <w:color w:val="0000EE"/>
            <w:u w:val="single"/>
          </w:rPr>
          <w:t>[2]</w:t>
        </w:r>
      </w:hyperlink>
      <w:r>
        <w:t xml:space="preserve"> (Insurance Journal) - Paragraph 1, Paragraph 2, Paragraph 7 </w:t>
      </w:r>
      <w:r/>
    </w:p>
    <w:p>
      <w:pPr>
        <w:pStyle w:val="ListBullet"/>
        <w:spacing w:line="240" w:lineRule="auto"/>
        <w:ind w:left="720"/>
      </w:pPr>
      <w:r/>
      <w:hyperlink r:id="rId14">
        <w:r>
          <w:rPr>
            <w:color w:val="0000EE"/>
            <w:u w:val="single"/>
          </w:rPr>
          <w:t>[3]</w:t>
        </w:r>
      </w:hyperlink>
      <w:r>
        <w:t xml:space="preserve"> (Reuters) - Paragraph 5, Paragraph 8 </w:t>
      </w:r>
      <w:r/>
    </w:p>
    <w:p>
      <w:pPr>
        <w:pStyle w:val="ListBullet"/>
        <w:spacing w:line="240" w:lineRule="auto"/>
        <w:ind w:left="720"/>
      </w:pPr>
      <w:r/>
      <w:hyperlink r:id="rId15">
        <w:r>
          <w:rPr>
            <w:color w:val="0000EE"/>
            <w:u w:val="single"/>
          </w:rPr>
          <w:t>[4]</w:t>
        </w:r>
      </w:hyperlink>
      <w:r>
        <w:t xml:space="preserve"> (PR Newswire / Conning survey) - Paragraph 5, Paragraph 6, Paragraph 8 </w:t>
      </w:r>
      <w:r/>
    </w:p>
    <w:p>
      <w:pPr>
        <w:pStyle w:val="ListBullet"/>
        <w:spacing w:line="240" w:lineRule="auto"/>
        <w:ind w:left="720"/>
      </w:pPr>
      <w:r/>
      <w:hyperlink r:id="rId13">
        <w:r>
          <w:rPr>
            <w:color w:val="0000EE"/>
            <w:u w:val="single"/>
          </w:rPr>
          <w:t>[5]</w:t>
        </w:r>
      </w:hyperlink>
      <w:r>
        <w:t xml:space="preserve"> (SAS / Economist Impact) - Paragraph 3, Paragraph 6, Paragraph 8 </w:t>
      </w:r>
      <w:r/>
    </w:p>
    <w:p>
      <w:pPr>
        <w:pStyle w:val="ListBullet"/>
        <w:spacing w:line="240" w:lineRule="auto"/>
        <w:ind w:left="720"/>
      </w:pPr>
      <w:r/>
      <w:hyperlink r:id="rId12">
        <w:r>
          <w:rPr>
            <w:color w:val="0000EE"/>
            <w:u w:val="single"/>
          </w:rPr>
          <w:t>[6]</w:t>
        </w:r>
      </w:hyperlink>
      <w:r>
        <w:t xml:space="preserve"> (CompleteAITraining / vendor analysis) - Paragraph 3, Paragraph 4, Paragraph 7 </w:t>
      </w:r>
      <w:r/>
    </w:p>
    <w:p>
      <w:pPr>
        <w:pStyle w:val="ListBullet"/>
        <w:spacing w:line="240" w:lineRule="auto"/>
        <w:ind w:left="720"/>
      </w:pPr>
      <w:r/>
      <w:hyperlink r:id="rId11">
        <w:r>
          <w:rPr>
            <w:color w:val="0000EE"/>
            <w:u w:val="single"/>
          </w:rPr>
          <w:t>[7]</w:t>
        </w:r>
      </w:hyperlink>
      <w:r>
        <w:t xml:space="preserve"> (Reuters / industry pricing history) - Paragraph 2,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https://www.red94.net/news/67688-business-insurance-rates-drop-in-2025-as-ai-underwriting-reshapes-coverage-optio/</w:t>
        </w:r>
      </w:hyperlink>
      <w:r>
        <w:t xml:space="preserve"> - Please view link - unable to able to access data</w:t>
      </w:r>
      <w:r/>
    </w:p>
    <w:p>
      <w:pPr>
        <w:pStyle w:val="ListNumber"/>
        <w:spacing w:line="240" w:lineRule="auto"/>
        <w:ind w:left="720"/>
      </w:pPr>
      <w:r/>
      <w:hyperlink r:id="rId10">
        <w:r>
          <w:rPr>
            <w:color w:val="0000EE"/>
            <w:u w:val="single"/>
          </w:rPr>
          <w:t>https://www.insurancejournal.com/news/international/2025/10/23/844830.htm</w:t>
        </w:r>
      </w:hyperlink>
      <w:r>
        <w:t xml:space="preserve"> - In the third quarter of 2025, global commercial insurance rates declined by 4%, matching the previous quarter's decrease. This marked the fifth consecutive quarterly decline, indicating a softening market. The decline was driven by increased insurer capacity and competitive market conditions, benefiting well-managed organizations with solid loss histories. The trend was observed across various regions, including the Pacific, Latin America and the Caribbean, the UK, Asia and India, the Middle East, Africa, Europe, and Canada.</w:t>
      </w:r>
      <w:r/>
    </w:p>
    <w:p>
      <w:pPr>
        <w:pStyle w:val="ListNumber"/>
        <w:spacing w:line="240" w:lineRule="auto"/>
        <w:ind w:left="720"/>
      </w:pPr>
      <w:r/>
      <w:hyperlink r:id="rId14">
        <w:r>
          <w:rPr>
            <w:color w:val="0000EE"/>
            <w:u w:val="single"/>
          </w:rPr>
          <w:t>https://www.reuters.com/technology/ai-boosts-insurance-tech-financing-deepfakes-risk-report-says-2024-08-01/</w:t>
        </w:r>
      </w:hyperlink>
      <w:r>
        <w:t xml:space="preserve"> - A report by reinsurance broker Gallagher Re highlighted a 40% rise in global funding for insurance technology firms in the second quarter of 2024, reaching $1.27 billion, largely driven by interest in artificial intelligence (AI). While AI promises automation and cost-cutting benefits, there are concerns regarding job losses, potential customer exclusions, and AI-generated deepfakes that could exacerbate insurance fraud. Notably, about a third of the quarter’s insurtech funding went to AI-focused firms.</w:t>
      </w:r>
      <w:r/>
    </w:p>
    <w:p>
      <w:pPr>
        <w:pStyle w:val="ListNumber"/>
        <w:spacing w:line="240" w:lineRule="auto"/>
        <w:ind w:left="720"/>
      </w:pPr>
      <w:r/>
      <w:hyperlink r:id="rId15">
        <w:r>
          <w:rPr>
            <w:color w:val="0000EE"/>
            <w:u w:val="single"/>
          </w:rPr>
          <w:t>https://www.prnewswire.com/news-releases/conning-releases-2025-survey-on-ai--insurance-technology-the-c-suite-verdict-302490986.html</w:t>
        </w:r>
      </w:hyperlink>
      <w:r>
        <w:t xml:space="preserve"> - Conning's third annual survey on AI &amp; Insurance Technology revealed that 90% of U.S. insurers are evaluating generative AI, with 55% in early or full adoption. The report highlights a significant uptick in AI integration, prompting a shift toward upskilled workers and key implications for cyber risk management. Generative AI has shown the strongest growth among AI technologies, indicating its increasing role in the insurance sector.</w:t>
      </w:r>
      <w:r/>
    </w:p>
    <w:p>
      <w:pPr>
        <w:pStyle w:val="ListNumber"/>
        <w:spacing w:line="240" w:lineRule="auto"/>
        <w:ind w:left="720"/>
      </w:pPr>
      <w:r/>
      <w:hyperlink r:id="rId13">
        <w:r>
          <w:rPr>
            <w:color w:val="0000EE"/>
            <w:u w:val="single"/>
          </w:rPr>
          <w:t>https://www.sas.com/en_us/news/press-releases/2025/september/economist-ai-underwriting-future-insurance.html</w:t>
        </w:r>
      </w:hyperlink>
      <w:r>
        <w:t xml:space="preserve"> - A report from Economist Impact, sponsored by SAS, found that AI is gradually reshaping the insurance industry. While generative AI hasn't yet transformed the sector, it is demonstrating gains in productivity. Insurance leaders foresee a future where humans and AI agents collaborate, with AI systems capable of performing complex tasks almost independently. This shift suggests a hybrid workforce in which human agents and AI agents work hand-in-hand on tasks such as underwriting, product development, and claims processing.</w:t>
      </w:r>
      <w:r/>
    </w:p>
    <w:p>
      <w:pPr>
        <w:pStyle w:val="ListNumber"/>
        <w:spacing w:line="240" w:lineRule="auto"/>
        <w:ind w:left="720"/>
      </w:pPr>
      <w:r/>
      <w:hyperlink r:id="rId12">
        <w:r>
          <w:rPr>
            <w:color w:val="0000EE"/>
            <w:u w:val="single"/>
          </w:rPr>
          <w:t>https://completeaitraining.com/news/ai-speeds-underwriting-to-124-minutes-as-business-insurance/</w:t>
        </w:r>
      </w:hyperlink>
      <w:r>
        <w:t xml:space="preserve"> - AI is significantly accelerating underwriting processes, reducing the time from 3-5 days to just 12.4 minutes while maintaining 99.3% accuracy. This efficiency is contributing to a 4% decline in global business insurance rates in the third quarter of 2025, marking the fifth consecutive quarterly decrease. The integration of AI in underwriting is reshaping coverage options and pricing strategies, benefiting both insurers and policyholders.</w:t>
      </w:r>
      <w:r/>
    </w:p>
    <w:p>
      <w:pPr>
        <w:pStyle w:val="ListNumber"/>
        <w:spacing w:line="240" w:lineRule="auto"/>
        <w:ind w:left="720"/>
      </w:pPr>
      <w:r/>
      <w:hyperlink r:id="rId11">
        <w:r>
          <w:rPr>
            <w:color w:val="0000EE"/>
            <w:u w:val="single"/>
          </w:rPr>
          <w:t>https://www.reuters.com/business/finance/global-insurance-rates-fall-09-2024-first-drop-since-2017-report-says-2025-01-02/</w:t>
        </w:r>
      </w:hyperlink>
      <w:r>
        <w:t xml:space="preserve"> - In 2024, global insurance premiums declined by 0.9%, marking the first drop since 2017. This decrease is attributed to increased market competition following several years of rate hikes driven by losses from wars, natural disasters, and inflation. The profitability of insurers in recent years attracted new entrants to the market, exerting downward pressure on prices. Reinsurance rates also dropped on January 1, a key policy renewal date, with global property catastrophe reinsurance rates seeing an 8% decline.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d94.net/news/67688-business-insurance-rates-drop-in-2025-as-ai-underwriting-reshapes-coverage-optio/" TargetMode="External"/><Relationship Id="rId10" Type="http://schemas.openxmlformats.org/officeDocument/2006/relationships/hyperlink" Target="https://www.insurancejournal.com/news/international/2025/10/23/844830.htm" TargetMode="External"/><Relationship Id="rId11" Type="http://schemas.openxmlformats.org/officeDocument/2006/relationships/hyperlink" Target="https://www.reuters.com/business/finance/global-insurance-rates-fall-09-2024-first-drop-since-2017-report-says-2025-01-02/" TargetMode="External"/><Relationship Id="rId12" Type="http://schemas.openxmlformats.org/officeDocument/2006/relationships/hyperlink" Target="https://completeaitraining.com/news/ai-speeds-underwriting-to-124-minutes-as-business-insurance/" TargetMode="External"/><Relationship Id="rId13" Type="http://schemas.openxmlformats.org/officeDocument/2006/relationships/hyperlink" Target="https://www.sas.com/en_us/news/press-releases/2025/september/economist-ai-underwriting-future-insurance.html" TargetMode="External"/><Relationship Id="rId14" Type="http://schemas.openxmlformats.org/officeDocument/2006/relationships/hyperlink" Target="https://www.reuters.com/technology/ai-boosts-insurance-tech-financing-deepfakes-risk-report-says-2024-08-01/" TargetMode="External"/><Relationship Id="rId15" Type="http://schemas.openxmlformats.org/officeDocument/2006/relationships/hyperlink" Target="https://www.prnewswire.com/news-releases/conning-releases-2025-survey-on-ai--insurance-technology-the-c-suite-verdict-30249098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