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Compliance management revolution accelerates with AI-driven continuous oversight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Compliance management is shifting from episodic checks to continuous, intelligence-driven oversight as firms confront faster-moving regulation, growing enforcement and expanding operational complexity. According to the original report from a compliance software vendor, organisations that rely on quarterly or annual audits now face a material time-lag between issues arising and corrective action, driving demand for platforms that deliver real-time visibility and automated controls. </w:t>
      </w:r>
      <w:hyperlink r:id="rId9">
        <w:r>
          <w:rPr>
            <w:color w:val="0000EE"/>
            <w:u w:val="single"/>
          </w:rPr>
          <w:t>[1]</w:t>
        </w:r>
      </w:hyperlink>
      <w:hyperlink r:id="rId9">
        <w:r>
          <w:rPr>
            <w:color w:val="0000EE"/>
            <w:u w:val="single"/>
          </w:rPr>
          <w:t>[2]</w:t>
        </w:r>
      </w:hyperlink>
      <w:r/>
    </w:p>
    <w:p>
      <w:r/>
      <w:r>
        <w:t xml:space="preserve">Real‑time continuous monitoring is becoming a baseline expectation rather than a premium feature. Industry vendors describe tools that ingest streaming data from cloud services, applications and transactional systems to detect anomalies and flag control failures as they occur , shortening the window for regulatory exposure and reducing the cost of remediation. Independent product suites already marketed as “continuous compliance” extend this capability across privacy, payment card and sector‑specific regimes. </w:t>
      </w:r>
      <w:hyperlink r:id="rId9">
        <w:r>
          <w:rPr>
            <w:color w:val="0000EE"/>
            <w:u w:val="single"/>
          </w:rPr>
          <w:t>[1]</w:t>
        </w:r>
      </w:hyperlink>
      <w:hyperlink r:id="rId10">
        <w:r>
          <w:rPr>
            <w:color w:val="0000EE"/>
            <w:u w:val="single"/>
          </w:rPr>
          <w:t>[3]</w:t>
        </w:r>
      </w:hyperlink>
      <w:hyperlink r:id="rId11">
        <w:r>
          <w:rPr>
            <w:color w:val="0000EE"/>
            <w:u w:val="single"/>
          </w:rPr>
          <w:t>[4]</w:t>
        </w:r>
      </w:hyperlink>
      <w:r/>
    </w:p>
    <w:p>
      <w:r/>
      <w:r>
        <w:t xml:space="preserve">Artificial intelligence and machine learning are being positioned as the engines that convert continuous data into forward‑looking risk decisions. According to the announcement accompanying the lead article, AI models can forecast likely breaches, reduce false positives and automate analysis of voluminous evidence, enabling compliance teams to prioritise investigations and shift from firefighting to strategy. Professional services research similarly recommends investing AI to modernise tasks such as complaints analysis and supplier diligence. </w:t>
      </w:r>
      <w:hyperlink r:id="rId9">
        <w:r>
          <w:rPr>
            <w:color w:val="0000EE"/>
            <w:u w:val="single"/>
          </w:rPr>
          <w:t>[1]</w:t>
        </w:r>
      </w:hyperlink>
      <w:hyperlink r:id="rId12">
        <w:r>
          <w:rPr>
            <w:color w:val="0000EE"/>
            <w:u w:val="single"/>
          </w:rPr>
          <w:t>[6]</w:t>
        </w:r>
      </w:hyperlink>
      <w:r/>
    </w:p>
    <w:p>
      <w:r/>
      <w:r>
        <w:t xml:space="preserve">Cloud‑first architectures underpin these advances. Cloud deployment not only enables rapid regulatory updates and enterprise scaling, but also facilitates cross‑unit collaboration and unified data models that single out inconsistent controls and dataflows. The lead report stresses this architectural shift as essential to support integrated governance, risk and compliance frameworks at enterprise scale. </w:t>
      </w:r>
      <w:hyperlink r:id="rId9">
        <w:r>
          <w:rPr>
            <w:color w:val="0000EE"/>
            <w:u w:val="single"/>
          </w:rPr>
          <w:t>[1]</w:t>
        </w:r>
      </w:hyperlink>
      <w:hyperlink r:id="rId9">
        <w:r>
          <w:rPr>
            <w:color w:val="0000EE"/>
            <w:u w:val="single"/>
          </w:rPr>
          <w:t>[2]</w:t>
        </w:r>
      </w:hyperlink>
      <w:r/>
    </w:p>
    <w:p>
      <w:r/>
      <w:r>
        <w:t xml:space="preserve">Integration across frameworks and toolchains is central to reducing audit friction. Vendors describe “integrated ecosystems” that automate evidence collection, map controls to multiple standards and produce framework‑specific reports in minutes rather than weeks. Product literature from continuous‑monitoring providers and GRC platforms highlights automated mapping to standards such as NIST, ISO 27001, PCI DSS and sector privacy regimes, helping auditors and regulators reconcile evidence more rapidly. </w:t>
      </w:r>
      <w:hyperlink r:id="rId9">
        <w:r>
          <w:rPr>
            <w:color w:val="0000EE"/>
            <w:u w:val="single"/>
          </w:rPr>
          <w:t>[1]</w:t>
        </w:r>
      </w:hyperlink>
      <w:hyperlink r:id="rId10">
        <w:r>
          <w:rPr>
            <w:color w:val="0000EE"/>
            <w:u w:val="single"/>
          </w:rPr>
          <w:t>[3]</w:t>
        </w:r>
      </w:hyperlink>
      <w:hyperlink r:id="rId11">
        <w:r>
          <w:rPr>
            <w:color w:val="0000EE"/>
            <w:u w:val="single"/>
          </w:rPr>
          <w:t>[4]</w:t>
        </w:r>
      </w:hyperlink>
      <w:r/>
    </w:p>
    <w:p>
      <w:r/>
      <w:r>
        <w:t xml:space="preserve">Emerging ledger technologies and tamper‑evident records are being adopted selectively to strengthen audit trails and regulatory transparency. The lead article argues that blockchain can create immutable documentation that increases trust with stakeholders and examiners; meanwhile market commentary on compliance and tax trends points to broader demands for auditability and data provenance in regulated operations. These technologies are presented as complementary to, rather than replacements for, robust control design and continuous testing. </w:t>
      </w:r>
      <w:hyperlink r:id="rId9">
        <w:r>
          <w:rPr>
            <w:color w:val="0000EE"/>
            <w:u w:val="single"/>
          </w:rPr>
          <w:t>[1]</w:t>
        </w:r>
      </w:hyperlink>
      <w:hyperlink r:id="rId13">
        <w:r>
          <w:rPr>
            <w:color w:val="0000EE"/>
            <w:u w:val="single"/>
          </w:rPr>
          <w:t>[7]</w:t>
        </w:r>
      </w:hyperlink>
      <w:r/>
    </w:p>
    <w:p>
      <w:r/>
      <w:r>
        <w:t xml:space="preserve">Environmental, social and governance obligations have moved from peripheral reporting to core risk management. The lead piece frames ESG monitoring as a compliance function , centralised controls, automated reporting and real‑time risk identification are described as necessary to meet investor and regulator expectations. This aligns with third‑party analysis that places ESG tooling alongside other regulatory priorities as firms reconfigure compliance operating models. </w:t>
      </w:r>
      <w:hyperlink r:id="rId9">
        <w:r>
          <w:rPr>
            <w:color w:val="0000EE"/>
            <w:u w:val="single"/>
          </w:rPr>
          <w:t>[1]</w:t>
        </w:r>
      </w:hyperlink>
      <w:hyperlink r:id="rId12">
        <w:r>
          <w:rPr>
            <w:color w:val="0000EE"/>
            <w:u w:val="single"/>
          </w:rPr>
          <w:t>[6]</w:t>
        </w:r>
      </w:hyperlink>
      <w:r/>
    </w:p>
    <w:p>
      <w:r/>
      <w:r>
        <w:t xml:space="preserve">The multi‑jurisdictional nature of modern regulation raises both technical and organisational challenges. Vendors and professional advisors highlight capabilities to model conflicting requirements and activate jurisdiction‑specific policy modules, reducing manual interpretation and bespoke scripting across legal entities. Where rapid regulatory change collides with legacy processes, experts recommend coupling automation with refreshed compliance skills to interpret outputs and advise business leaders. </w:t>
      </w:r>
      <w:hyperlink r:id="rId9">
        <w:r>
          <w:rPr>
            <w:color w:val="0000EE"/>
            <w:u w:val="single"/>
          </w:rPr>
          <w:t>[1]</w:t>
        </w:r>
      </w:hyperlink>
      <w:hyperlink r:id="rId9">
        <w:r>
          <w:rPr>
            <w:color w:val="0000EE"/>
            <w:u w:val="single"/>
          </w:rPr>
          <w:t>[2]</w:t>
        </w:r>
      </w:hyperlink>
      <w:hyperlink r:id="rId12">
        <w:r>
          <w:rPr>
            <w:color w:val="0000EE"/>
            <w:u w:val="single"/>
          </w:rPr>
          <w:t>[6]</w:t>
        </w:r>
      </w:hyperlink>
      <w:r/>
    </w:p>
    <w:p>
      <w:r/>
      <w:r>
        <w:t xml:space="preserve">These technological shifts are reshaping the compliance function’s role and required skillset. The lead report argues that automation frees experienced staff from repetitive tasks, enabling them to engage in policy design, risk strategy and cross‑functional leadership. Business and advisory reports echo this, urging firms to recruit or retrain practitioners with data literacy, cloud and regulatory technology proficiency, and the ability to translate real‑time outputs into commercial guidance. </w:t>
      </w:r>
      <w:hyperlink r:id="rId9">
        <w:r>
          <w:rPr>
            <w:color w:val="0000EE"/>
            <w:u w:val="single"/>
          </w:rPr>
          <w:t>[1]</w:t>
        </w:r>
      </w:hyperlink>
      <w:hyperlink r:id="rId12">
        <w:r>
          <w:rPr>
            <w:color w:val="0000EE"/>
            <w:u w:val="single"/>
          </w:rPr>
          <w:t>[6]</w:t>
        </w:r>
      </w:hyperlink>
      <w:r/>
    </w:p>
    <w:p>
      <w:r/>
      <w:r>
        <w:t xml:space="preserve">As firms evaluate next‑generation compliance platforms, the consistent theme across vendor and independent analyses is that continuous monitoring, AI augmentation, cloud architecture and integrated evidence management are complementary pillars , together they reduce latency, improve audit readiness and enable forward‑looking risk governance. Organisations adopting these elements are advised to maintain editorial distance from vendor claims, validate model performance and governance, and prioritise talent and change management alongside technology investment. </w:t>
      </w:r>
      <w:hyperlink r:id="rId9">
        <w:r>
          <w:rPr>
            <w:color w:val="0000EE"/>
            <w:u w:val="single"/>
          </w:rPr>
          <w:t>[1]</w:t>
        </w:r>
      </w:hyperlink>
      <w:hyperlink r:id="rId9">
        <w:r>
          <w:rPr>
            <w:color w:val="0000EE"/>
            <w:u w:val="single"/>
          </w:rPr>
          <w:t>[2]</w:t>
        </w:r>
      </w:hyperlink>
      <w:hyperlink r:id="rId10">
        <w:r>
          <w:rPr>
            <w:color w:val="0000EE"/>
            <w:u w:val="single"/>
          </w:rPr>
          <w:t>[3]</w:t>
        </w:r>
      </w:hyperlink>
      <w:hyperlink r:id="rId11">
        <w:r>
          <w:rPr>
            <w:color w:val="0000EE"/>
            <w:u w:val="single"/>
          </w:rPr>
          <w:t>[4]</w:t>
        </w:r>
      </w:hyperlink>
      <w:hyperlink r:id="rId12">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(360factors blog) - Paragraph 1, Paragraph 2, Paragraph 3, Paragraph 4, Paragraph 5, Paragraph 6, Paragraph 7, Paragraph 8, Paragraph 9, Paragraph 10 </w:t>
      </w:r>
      <w:r/>
    </w:p>
    <w:p>
      <w:pPr>
        <w:pStyle w:val="ListBullet"/>
        <w:spacing w:line="240" w:lineRule="auto"/>
        <w:ind w:left="720"/>
      </w:pPr>
      <w:r/>
      <w:hyperlink r:id="rId9">
        <w:r>
          <w:rPr>
            <w:color w:val="0000EE"/>
            <w:u w:val="single"/>
          </w:rPr>
          <w:t>[2]</w:t>
        </w:r>
      </w:hyperlink>
      <w:r>
        <w:t xml:space="preserve"> (360factors summary) - Paragraph 1, Paragraph 4, Paragraph 8, Paragraph 10 </w:t>
      </w:r>
      <w:r/>
    </w:p>
    <w:p>
      <w:pPr>
        <w:pStyle w:val="ListBullet"/>
        <w:spacing w:line="240" w:lineRule="auto"/>
        <w:ind w:left="720"/>
      </w:pPr>
      <w:r/>
      <w:hyperlink r:id="rId10">
        <w:r>
          <w:rPr>
            <w:color w:val="0000EE"/>
            <w:u w:val="single"/>
          </w:rPr>
          <w:t>[3]</w:t>
        </w:r>
      </w:hyperlink>
      <w:r>
        <w:t xml:space="preserve"> (Feroot) - Paragraph 2, Paragraph 5, Paragraph 10 </w:t>
      </w:r>
      <w:r/>
    </w:p>
    <w:p>
      <w:pPr>
        <w:pStyle w:val="ListBullet"/>
        <w:spacing w:line="240" w:lineRule="auto"/>
        <w:ind w:left="720"/>
      </w:pPr>
      <w:r/>
      <w:hyperlink r:id="rId11">
        <w:r>
          <w:rPr>
            <w:color w:val="0000EE"/>
            <w:u w:val="single"/>
          </w:rPr>
          <w:t>[4]</w:t>
        </w:r>
      </w:hyperlink>
      <w:r>
        <w:t xml:space="preserve"> (MetricStream) - Paragraph 2, Paragraph 5, Paragraph 10 </w:t>
      </w:r>
      <w:r/>
    </w:p>
    <w:p>
      <w:pPr>
        <w:pStyle w:val="ListBullet"/>
        <w:spacing w:line="240" w:lineRule="auto"/>
        <w:ind w:left="720"/>
      </w:pPr>
      <w:r/>
      <w:hyperlink r:id="rId12">
        <w:r>
          <w:rPr>
            <w:color w:val="0000EE"/>
            <w:u w:val="single"/>
          </w:rPr>
          <w:t>[6]</w:t>
        </w:r>
      </w:hyperlink>
      <w:r>
        <w:t xml:space="preserve"> (KPMG CCO Insight 2026) - Paragraph 3, Paragraph 7, Paragraph 9, Paragraph 10 </w:t>
      </w:r>
      <w:r/>
    </w:p>
    <w:p>
      <w:pPr>
        <w:pStyle w:val="ListBullet"/>
        <w:spacing w:line="240" w:lineRule="auto"/>
        <w:ind w:left="720"/>
      </w:pPr>
      <w:r/>
      <w:hyperlink r:id="rId13">
        <w:r>
          <w:rPr>
            <w:color w:val="0000EE"/>
            <w:u w:val="single"/>
          </w:rPr>
          <w:t>[7]</w:t>
        </w:r>
      </w:hyperlink>
      <w:r>
        <w:t xml:space="preserve"> (Avalara PR Newswire) - Paragraph 6, Paragraph 10</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https://www.360factors.com/blog/compliance-management-software-2026/</w:t>
        </w:r>
      </w:hyperlink>
      <w:r>
        <w:t xml:space="preserve"> - Please view link - unable to able to access data</w:t>
      </w:r>
      <w:r/>
    </w:p>
    <w:p>
      <w:pPr>
        <w:pStyle w:val="ListNumber"/>
        <w:spacing w:line="240" w:lineRule="auto"/>
        <w:ind w:left="720"/>
      </w:pPr>
      <w:r/>
      <w:hyperlink r:id="rId9">
        <w:r>
          <w:rPr>
            <w:color w:val="0000EE"/>
            <w:u w:val="single"/>
          </w:rPr>
          <w:t>https://www.360factors.com/blog/compliance-management-software-2026/</w:t>
        </w:r>
      </w:hyperlink>
      <w:r>
        <w:t xml:space="preserve"> - This article discusses seven key trends shaping compliance management software in 2026, including real-time continuous monitoring, AI and machine learning integration, cloud-based architecture, integrated ecosystems, blockchain technology, ESG compliance, and multi-jurisdictional architectures. It emphasizes the need for organizations to transition from traditional compliance management to a culture of risk awareness, leveraging AI platforms like Predict360 to achieve this shift.</w:t>
      </w:r>
      <w:r/>
    </w:p>
    <w:p>
      <w:pPr>
        <w:pStyle w:val="ListNumber"/>
        <w:spacing w:line="240" w:lineRule="auto"/>
        <w:ind w:left="720"/>
      </w:pPr>
      <w:r/>
      <w:hyperlink r:id="rId10">
        <w:r>
          <w:rPr>
            <w:color w:val="0000EE"/>
            <w:u w:val="single"/>
          </w:rPr>
          <w:t>https://www.feroot.com/continues-compliance/</w:t>
        </w:r>
      </w:hyperlink>
      <w:r>
        <w:t xml:space="preserve"> - Feroot's Continuous Compliance Monitoring offers real-time automation to ensure constant protection against compliance risks. It provides continuous monitoring across various requirements, tracks script changes, data access, and privacy controls, and detects and prevents compliance gaps before they impact audits. The platform supports multiple frameworks, including HIPAA, PCI DSS 4.0, GDPR, CCPA, and state privacy laws, and generates framework-specific reports in 60 seconds.</w:t>
      </w:r>
      <w:r/>
    </w:p>
    <w:p>
      <w:pPr>
        <w:pStyle w:val="ListNumber"/>
        <w:spacing w:line="240" w:lineRule="auto"/>
        <w:ind w:left="720"/>
      </w:pPr>
      <w:r/>
      <w:hyperlink r:id="rId11">
        <w:r>
          <w:rPr>
            <w:color w:val="0000EE"/>
            <w:u w:val="single"/>
          </w:rPr>
          <w:t>https://www.metricstream.com/products/continuous-control-monitoring.htm</w:t>
        </w:r>
      </w:hyperlink>
      <w:r>
        <w:t xml:space="preserve"> - MetricStream's Continuous Control Monitoring enables automated testing and monitoring of cloud security controls, allowing organizations to map these controls with internal ones aligned to compliance standards such as NIST CSF, PCI, ISO 27001, and HIPAA. This proactive approach replaces inefficient, sample-based testing, helping organizations stay secure, agile, and alert by identifying vulnerabilities and improving cloud security and compliance posture.</w:t>
      </w:r>
      <w:r/>
    </w:p>
    <w:p>
      <w:pPr>
        <w:pStyle w:val="ListNumber"/>
        <w:spacing w:line="240" w:lineRule="auto"/>
        <w:ind w:left="720"/>
      </w:pPr>
      <w:r/>
      <w:hyperlink r:id="rId15">
        <w:r>
          <w:rPr>
            <w:color w:val="0000EE"/>
            <w:u w:val="single"/>
          </w:rPr>
          <w:t>https://www.complai.us/revolutionizing-24-7-compliance</w:t>
        </w:r>
      </w:hyperlink>
      <w:r>
        <w:t xml:space="preserve"> - ComplAi's platform offers continuous monitoring and security to manage and secure assets crucial for maintaining compliance. It ensures that hardware, software, and other IT infrastructure components are properly configured, patched, and secure. The platform also provides continuous training and awareness programs, leveraging AI to tailor content to individual roles and responsibilities, ensuring employees are proactive in recognizing and addressing potential compliance issues.</w:t>
      </w:r>
      <w:r/>
    </w:p>
    <w:p>
      <w:pPr>
        <w:pStyle w:val="ListNumber"/>
        <w:spacing w:line="240" w:lineRule="auto"/>
        <w:ind w:left="720"/>
      </w:pPr>
      <w:r/>
      <w:hyperlink r:id="rId12">
        <w:r>
          <w:rPr>
            <w:color w:val="0000EE"/>
            <w:u w:val="single"/>
          </w:rPr>
          <w:t>https://kpmg.com/kpmg-us/content/dam/kpmg/pdf/2025/cco-insight-2026-compliance-planning-web.pdf</w:t>
        </w:r>
      </w:hyperlink>
      <w:r>
        <w:t xml:space="preserve"> - KPMG's 'CCO Insight 2026 Compliance Planning' report highlights the importance of leveraging AI and technology to transform compliance. It discusses investing in AI for tasks like complaints analysis and supplier diligence reviews, reassessing compliance talent, managing budget constraints amidst business growth, and modernizing risk assessment to address emerging risks. The report emphasizes the need for compliance functions to evolve and adapt to the changing regulatory environment.</w:t>
      </w:r>
      <w:r/>
    </w:p>
    <w:p>
      <w:pPr>
        <w:pStyle w:val="ListNumber"/>
        <w:spacing w:line="240" w:lineRule="auto"/>
        <w:ind w:left="720"/>
      </w:pPr>
      <w:r/>
      <w:hyperlink r:id="rId13">
        <w:r>
          <w:rPr>
            <w:color w:val="0000EE"/>
            <w:u w:val="single"/>
          </w:rPr>
          <w:t>https://www.prnewswire.com/news-releases/avalara-predicts-2026-will-reshape-global-business-through-ai-transparency-and-compliance-agility-302613246.html</w:t>
        </w:r>
      </w:hyperlink>
      <w:r>
        <w:t xml:space="preserve"> - Avalara's 2026 trend predictions offer insights into how automation, regulation, and real-time data will impact tax, trade, and digital operations worldwide. The report emphasizes that CFOs are becoming data strategists, with the ability to unify financial, tax, and operational data defining enterprise agility. It highlights the role of AI-driven tax enforcement and the need for businesses to adapt to a more data-driven and agile compliance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360factors.com/blog/compliance-management-software-2026/" TargetMode="External"/><Relationship Id="rId10" Type="http://schemas.openxmlformats.org/officeDocument/2006/relationships/hyperlink" Target="https://www.feroot.com/continues-compliance/" TargetMode="External"/><Relationship Id="rId11" Type="http://schemas.openxmlformats.org/officeDocument/2006/relationships/hyperlink" Target="https://www.metricstream.com/products/continuous-control-monitoring.htm" TargetMode="External"/><Relationship Id="rId12" Type="http://schemas.openxmlformats.org/officeDocument/2006/relationships/hyperlink" Target="https://kpmg.com/kpmg-us/content/dam/kpmg/pdf/2025/cco-insight-2026-compliance-planning-web.pdf" TargetMode="External"/><Relationship Id="rId13" Type="http://schemas.openxmlformats.org/officeDocument/2006/relationships/hyperlink" Target="https://www.prnewswire.com/news-releases/avalara-predicts-2026-will-reshape-global-business-through-ai-transparency-and-compliance-agility-302613246.html" TargetMode="External"/><Relationship Id="rId14" Type="http://schemas.openxmlformats.org/officeDocument/2006/relationships/hyperlink" Target="https://www.noahwire.com" TargetMode="External"/><Relationship Id="rId15" Type="http://schemas.openxmlformats.org/officeDocument/2006/relationships/hyperlink" Target="https://www.complai.us/revolutionizing-24-7-compli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