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Digital Operational Resilience Act set to reshape financial sector compliance from January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Digital Operational Resilience Act (DORA) will be enforceable across the European Union from 17 January 2025, imposing a common set of requirements intended to harden the financial sector against ICT-related disruption and cyberattack. According to the original report, the regulation complements existing EU rules such as the GDPR and NIS2 and applies to a wide range of entities doing business in member states, from banks, insurers and investment firms to crypto-asset service providers, trading venues and critical third-party ICT vendors. </w:t>
      </w:r>
      <w:hyperlink r:id="rId9">
        <w:r>
          <w:rPr>
            <w:color w:val="0000EE"/>
            <w:u w:val="single"/>
          </w:rPr>
          <w:t>[1]</w:t>
        </w:r>
      </w:hyperlink>
      <w:r/>
    </w:p>
    <w:p>
      <w:r/>
      <w:r>
        <w:t xml:space="preserve">Regulators have not left implementation to chance. The European Central Bank began large-scale digital operational resilience testing across 109 banks, a process announced in early January 2024, and industry guidance urges the rest of the sector to avoid last-minute compliance scrambles. Government and supervisory bodies finalised core Regulatory Technical Standards in January 2024, setting out ICT risk management requirements that firms must meet by the enforcement date. </w:t>
      </w:r>
      <w:hyperlink r:id="rId9">
        <w:r>
          <w:rPr>
            <w:color w:val="0000EE"/>
            <w:u w:val="single"/>
          </w:rPr>
          <w:t>[1]</w:t>
        </w:r>
      </w:hyperlink>
      <w:hyperlink r:id="rId10">
        <w:r>
          <w:rPr>
            <w:color w:val="0000EE"/>
            <w:u w:val="single"/>
          </w:rPr>
          <w:t>[3]</w:t>
        </w:r>
      </w:hyperlink>
      <w:r/>
    </w:p>
    <w:p>
      <w:r/>
      <w:r>
        <w:t xml:space="preserve">DORA is structured around five pillars: ICT risk management; ICT incident reporting; digital operational resilience testing; ICT third‑party risk management; and information and intelligence sharing. The regime requires continuous risk identification and monitoring, formal incident reporting to competent authorities for major ICT incidents, regular resilience testing including threat-led penetration testing (TLPT), and strengthened oversight of outsourced ICT services. The original report outlines these pillars and the practical measures firms must implement. </w:t>
      </w:r>
      <w:hyperlink r:id="rId9">
        <w:r>
          <w:rPr>
            <w:color w:val="0000EE"/>
            <w:u w:val="single"/>
          </w:rPr>
          <w:t>[1]</w:t>
        </w:r>
      </w:hyperlink>
      <w:r/>
    </w:p>
    <w:p>
      <w:r/>
      <w:r>
        <w:t xml:space="preserve">On testing, DORA mandates routine TLPT for in‑scope entities, with firms required to test critical functions and, where relevant, include third‑party providers in scope. Industry guidance recommends using established frameworks such as TIBER‑EU; according to IBM, an updated TIBER‑EU framework was approved by the ECB on 23 January 2025 to align with DORA’s RTS. The regulation also requires testing of live production systems and periodicity rules that, for many critical entities, mean TLPT at least once every three years. </w:t>
      </w:r>
      <w:hyperlink r:id="rId9">
        <w:r>
          <w:rPr>
            <w:color w:val="0000EE"/>
            <w:u w:val="single"/>
          </w:rPr>
          <w:t>[1]</w:t>
        </w:r>
      </w:hyperlink>
      <w:hyperlink r:id="rId10">
        <w:r>
          <w:rPr>
            <w:color w:val="0000EE"/>
            <w:u w:val="single"/>
          </w:rPr>
          <w:t>[3]</w:t>
        </w:r>
      </w:hyperlink>
      <w:r/>
    </w:p>
    <w:p>
      <w:r/>
      <w:r>
        <w:t xml:space="preserve">Practical compliance steps mirror these requirements. The original report provides a checklist that begins with scoping (Article 2), a DORA gap analysis and vendor risk assessments, followed by a remediation roadmap and identification of critical third‑party ICT providers (Article 31). It stresses board-level responsibilities (Article 5), continuous monitoring (Article 8) and a formal ICT incident management process (Article 17). Cindy Ruan, Governance Risk and Compliance Specialist, advises: "The roadmap should include identified actions on a yearly timeline (e.g., divided into quarters), based on action priority and feasibility." </w:t>
      </w:r>
      <w:hyperlink r:id="rId9">
        <w:r>
          <w:rPr>
            <w:color w:val="0000EE"/>
            <w:u w:val="single"/>
          </w:rPr>
          <w:t>[1]</w:t>
        </w:r>
      </w:hyperlink>
      <w:r/>
    </w:p>
    <w:p>
      <w:r/>
      <w:r>
        <w:t xml:space="preserve">Service providers and vendors will face increased scrutiny. The DORA framework obliges financial firms to exercise robust due diligence and oversight of outsourced providers and, where applicable, to ensure those providers themselves meet DORA standards. Industry checklists and implementation guides recommend comprehensive asset inventories, supplier categorisation and continuous external attack-surface monitoring to spot exposures that could cascade through the financial ecosystem. The FS‑ISAC implementation guidance highlights the need for a detailed project plan with subprojects, milestones, resources and contingency for standards that continued to evolve through 2024. </w:t>
      </w:r>
      <w:hyperlink r:id="rId9">
        <w:r>
          <w:rPr>
            <w:color w:val="0000EE"/>
            <w:u w:val="single"/>
          </w:rPr>
          <w:t>[1]</w:t>
        </w:r>
      </w:hyperlink>
      <w:hyperlink r:id="rId11">
        <w:r>
          <w:rPr>
            <w:color w:val="0000EE"/>
            <w:u w:val="single"/>
          </w:rPr>
          <w:t>[7]</w:t>
        </w:r>
      </w:hyperlink>
      <w:hyperlink r:id="rId12">
        <w:r>
          <w:rPr>
            <w:color w:val="0000EE"/>
            <w:u w:val="single"/>
          </w:rPr>
          <w:t>[4]</w:t>
        </w:r>
      </w:hyperlink>
      <w:r/>
    </w:p>
    <w:p>
      <w:r/>
      <w:r>
        <w:t xml:space="preserve">Penalties and enforcement powers differ in published accounts, reflecting national implementation and subsequent legal developments. The original report states that competent authorities may impose administrative fines up to 1% of average daily worldwide turnover for non‑compliance. Other industry and legal analyses indicate a wider range: Fortra summarises potential fines up to 2% of total annual worldwide turnover and individual fines up to €1 million, with penalties for critical third‑party providers reported up to €5 million; DLA Piper notes that some member states, for example Ireland after recent statutory amendments, can impose administrative sanctions up to €10 million or up to 10% of annual turnover and may bring DORA within senior executive accountability regimes. Firms should therefore treat reported maximums as jurisdiction‑dependent and verify the position with their national competent authority. </w:t>
      </w:r>
      <w:hyperlink r:id="rId9">
        <w:r>
          <w:rPr>
            <w:color w:val="0000EE"/>
            <w:u w:val="single"/>
          </w:rPr>
          <w:t>[1]</w:t>
        </w:r>
      </w:hyperlink>
      <w:hyperlink r:id="rId13">
        <w:r>
          <w:rPr>
            <w:color w:val="0000EE"/>
            <w:u w:val="single"/>
          </w:rPr>
          <w:t>[2]</w:t>
        </w:r>
      </w:hyperlink>
      <w:hyperlink r:id="rId14">
        <w:r>
          <w:rPr>
            <w:color w:val="0000EE"/>
            <w:u w:val="single"/>
          </w:rPr>
          <w:t>[6]</w:t>
        </w:r>
      </w:hyperlink>
      <w:r/>
    </w:p>
    <w:p>
      <w:r/>
      <w:r>
        <w:t xml:space="preserve">Market signals show some vendors seeking to demonstrate readiness ahead of the 17 January 2025 enforcement date. Vendor statements and press releases describe completed risk assessments, third‑party reviews and alignment exercises; one example cited that a payments and compliance provider announced it had satisfied DORA requirements and completed internal and third‑party assessments prior to the enforcement deadline. Such declarations can be useful for customers conducting vendor due diligence, but they do not substitute for independent verification or documentary evidence required under DORA. </w:t>
      </w:r>
      <w:hyperlink r:id="rId15">
        <w:r>
          <w:rPr>
            <w:color w:val="0000EE"/>
            <w:u w:val="single"/>
          </w:rPr>
          <w:t>[5]</w:t>
        </w:r>
      </w:hyperlink>
      <w:r/>
    </w:p>
    <w:p>
      <w:r/>
      <w:r>
        <w:t xml:space="preserve">Meeting DORA will typically require a multi‑year programme of work calibrated to an organisation’s size, existing controls and outsourcing profile. Guidance from implementation bodies and vendors converges on a practical approach: scope determination, gap analysis, phased remediation with board oversight, continuous monitoring, tabletop incident exercises, and scheduled TLPT where applicable. Industry tools that map controls from frameworks such as NIST CSF and ISO 27001 to DORA can accelerate compliance reporting and vendor assessments, but firms remain ultimately accountable for governance, resource allocation and demonstrable resilience outcomes. </w:t>
      </w:r>
      <w:hyperlink r:id="rId9">
        <w:r>
          <w:rPr>
            <w:color w:val="0000EE"/>
            <w:u w:val="single"/>
          </w:rPr>
          <w:t>[1]</w:t>
        </w:r>
      </w:hyperlink>
      <w:hyperlink r:id="rId11">
        <w:r>
          <w:rPr>
            <w:color w:val="0000EE"/>
            <w:u w:val="single"/>
          </w:rPr>
          <w:t>[7]</w:t>
        </w:r>
      </w:hyperlink>
      <w:hyperlink r:id="rId10">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(UpGuard blog/DORA compliance checklist) - Paragraph 1, Paragraph 2, Paragraph 3, Paragraph 5, Paragraph 6, Paragraph 7, Paragraph 8, Paragraph 9 </w:t>
      </w:r>
      <w:r/>
    </w:p>
    <w:p>
      <w:pPr>
        <w:pStyle w:val="ListBullet"/>
        <w:spacing w:line="240" w:lineRule="auto"/>
        <w:ind w:left="720"/>
      </w:pPr>
      <w:r/>
      <w:hyperlink r:id="rId10">
        <w:r>
          <w:rPr>
            <w:color w:val="0000EE"/>
            <w:u w:val="single"/>
          </w:rPr>
          <w:t>[3]</w:t>
        </w:r>
      </w:hyperlink>
      <w:r>
        <w:t xml:space="preserve"> (IBM) - Paragraph 2, Paragraph 4, Paragraph 9 </w:t>
      </w:r>
      <w:r/>
    </w:p>
    <w:p>
      <w:pPr>
        <w:pStyle w:val="ListBullet"/>
        <w:spacing w:line="240" w:lineRule="auto"/>
        <w:ind w:left="720"/>
      </w:pPr>
      <w:r/>
      <w:hyperlink r:id="rId11">
        <w:r>
          <w:rPr>
            <w:color w:val="0000EE"/>
            <w:u w:val="single"/>
          </w:rPr>
          <w:t>[7]</w:t>
        </w:r>
      </w:hyperlink>
      <w:r>
        <w:t xml:space="preserve"> (FS‑ISAC) - Paragraph 6, Paragraph 9 </w:t>
      </w:r>
      <w:r/>
    </w:p>
    <w:p>
      <w:pPr>
        <w:pStyle w:val="ListBullet"/>
        <w:spacing w:line="240" w:lineRule="auto"/>
        <w:ind w:left="720"/>
      </w:pPr>
      <w:r/>
      <w:hyperlink r:id="rId12">
        <w:r>
          <w:rPr>
            <w:color w:val="0000EE"/>
            <w:u w:val="single"/>
          </w:rPr>
          <w:t>[4]</w:t>
        </w:r>
      </w:hyperlink>
      <w:r>
        <w:t xml:space="preserve"> (House of Control) - Paragraph 6, Paragraph 9 </w:t>
      </w:r>
      <w:r/>
    </w:p>
    <w:p>
      <w:pPr>
        <w:pStyle w:val="ListBullet"/>
        <w:spacing w:line="240" w:lineRule="auto"/>
        <w:ind w:left="720"/>
      </w:pPr>
      <w:r/>
      <w:hyperlink r:id="rId13">
        <w:r>
          <w:rPr>
            <w:color w:val="0000EE"/>
            <w:u w:val="single"/>
          </w:rPr>
          <w:t>[2]</w:t>
        </w:r>
      </w:hyperlink>
      <w:r>
        <w:t xml:space="preserve"> (Fortra) - Paragraph 7 </w:t>
      </w:r>
      <w:r/>
    </w:p>
    <w:p>
      <w:pPr>
        <w:pStyle w:val="ListBullet"/>
        <w:spacing w:line="240" w:lineRule="auto"/>
        <w:ind w:left="720"/>
      </w:pPr>
      <w:r/>
      <w:hyperlink r:id="rId14">
        <w:r>
          <w:rPr>
            <w:color w:val="0000EE"/>
            <w:u w:val="single"/>
          </w:rPr>
          <w:t>[6]</w:t>
        </w:r>
      </w:hyperlink>
      <w:r>
        <w:t xml:space="preserve"> (DLA Piper) - Paragraph 7 </w:t>
      </w:r>
      <w:r/>
    </w:p>
    <w:p>
      <w:pPr>
        <w:pStyle w:val="ListBullet"/>
        <w:spacing w:line="240" w:lineRule="auto"/>
        <w:ind w:left="720"/>
      </w:pPr>
      <w:r/>
      <w:hyperlink r:id="rId15">
        <w:r>
          <w:rPr>
            <w:color w:val="0000EE"/>
            <w:u w:val="single"/>
          </w:rPr>
          <w:t>[5]</w:t>
        </w:r>
      </w:hyperlink>
      <w:r>
        <w:t xml:space="preserve"> (BusinessWire/Eastnets press release)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https://upguard-staging.webflow.io/blog/dora-compliance-checklist</w:t>
        </w:r>
      </w:hyperlink>
      <w:r>
        <w:t xml:space="preserve"> - Please view link - unable to able to access data</w:t>
      </w:r>
      <w:r/>
    </w:p>
    <w:p>
      <w:pPr>
        <w:pStyle w:val="ListNumber"/>
        <w:spacing w:line="240" w:lineRule="auto"/>
        <w:ind w:left="720"/>
      </w:pPr>
      <w:r/>
      <w:hyperlink r:id="rId13">
        <w:r>
          <w:rPr>
            <w:color w:val="0000EE"/>
            <w:u w:val="single"/>
          </w:rPr>
          <w:t>https://www.fortra.com/compliance/dora</w:t>
        </w:r>
      </w:hyperlink>
      <w:r>
        <w:t xml:space="preserve"> - Fortra provides an overview of the Digital Operational Resilience Act (DORA), detailing its compliance deadlines and enforcement mechanisms. The regulation became effective on 16 January 2023, with requirements enforceable from 17 January 2025. Non-compliance can result in fines up to 2% of a company's total annual worldwide turnover, individual fines up to 1 million euros, and penalties for critical third-party providers up to 5 million euros. Additional consequences include suspension of services, mandatory remedial measures, audits, and public notices.</w:t>
      </w:r>
      <w:r/>
    </w:p>
    <w:p>
      <w:pPr>
        <w:pStyle w:val="ListNumber"/>
        <w:spacing w:line="240" w:lineRule="auto"/>
        <w:ind w:left="720"/>
      </w:pPr>
      <w:r/>
      <w:hyperlink r:id="rId10">
        <w:r>
          <w:rPr>
            <w:color w:val="0000EE"/>
            <w:u w:val="single"/>
          </w:rPr>
          <w:t>https://www.ibm.com/cloud/compliance/dora-eu</w:t>
        </w:r>
      </w:hyperlink>
      <w:r>
        <w:t xml:space="preserve"> - IBM outlines the key aspects of DORA, emphasizing the necessity for financial entities to conduct regular testing of their ICT systems to assess resilience against cyber threats. Entities are required to perform tests such as vulnerability assessments and scenario-based testing annually. Financial entities deemed critical must also undergo threat-led penetration testing (TLPT) every three years. The updated TIBER-EU framework, approved by the ECB on 23 January 2025, aligns with DORA's regulatory technical standards on TLPT.</w:t>
      </w:r>
      <w:r/>
    </w:p>
    <w:p>
      <w:pPr>
        <w:pStyle w:val="ListNumber"/>
        <w:spacing w:line="240" w:lineRule="auto"/>
        <w:ind w:left="720"/>
      </w:pPr>
      <w:r/>
      <w:hyperlink r:id="rId12">
        <w:r>
          <w:rPr>
            <w:color w:val="0000EE"/>
            <w:u w:val="single"/>
          </w:rPr>
          <w:t>https://www.houseofcontrol.com/checklist-for-dora-compliance</w:t>
        </w:r>
      </w:hyperlink>
      <w:r>
        <w:t xml:space="preserve"> - House of Control offers a comprehensive checklist for DORA compliance, targeting ICT professionals, compliance teams, and consultants. The checklist provides a structured approach to meeting DORA's requirements, including governance, ICT risk frameworks, asset inventories, incident management, business continuity planning, and third-party ICT risk management. Each step is mapped to specific DORA articles, offering clear guidance on necessary actions to achieve compliance by the 17 January 2025 deadline.</w:t>
      </w:r>
      <w:r/>
    </w:p>
    <w:p>
      <w:pPr>
        <w:pStyle w:val="ListNumber"/>
        <w:spacing w:line="240" w:lineRule="auto"/>
        <w:ind w:left="720"/>
      </w:pPr>
      <w:r/>
      <w:hyperlink r:id="rId15">
        <w:r>
          <w:rPr>
            <w:color w:val="0000EE"/>
            <w:u w:val="single"/>
          </w:rPr>
          <w:t>https://www.businesswire.com/news/home/20250115443113/en/Eastnets-satisfies-requirements-for-the-EU-Digital-Operational-Resilience-Act-DORA</w:t>
        </w:r>
      </w:hyperlink>
      <w:r>
        <w:t xml:space="preserve"> - Eastnets, a global leader in compliance and payments solutions, announces its compliance with the EU's Digital Operational Resilience Act (DORA), ensuring readiness ahead of its enforcement on 17 January 2025. The company conducted comprehensive risk assessments of both internal systems and third-party providers, aligning with DORA's stringent requirements. This compliance demonstrates Eastnets' commitment to operational resilience and cybersecurity, reinforcing its position as a trusted partner within the financial ecosystem.</w:t>
      </w:r>
      <w:r/>
    </w:p>
    <w:p>
      <w:pPr>
        <w:pStyle w:val="ListNumber"/>
        <w:spacing w:line="240" w:lineRule="auto"/>
        <w:ind w:left="720"/>
      </w:pPr>
      <w:r/>
      <w:hyperlink r:id="rId14">
        <w:r>
          <w:rPr>
            <w:color w:val="0000EE"/>
            <w:u w:val="single"/>
          </w:rPr>
          <w:t>https://www.dlapiper.com/en-be/insights/publications/2025/02/application-of-the-digital-operational-resilience-act---dora</w:t>
        </w:r>
      </w:hyperlink>
      <w:r>
        <w:t xml:space="preserve"> - DLA Piper discusses the enforcement of DORA, highlighting that the Central Bank Act 1942 has been amended to grant the Central Bank of Ireland the authority to impose administrative sanctions for non-compliance. Financial entities could face fines up to EUR10 million or 10% of their annual turnover, while individuals could be fined up to EUR1 million. The Senior Executive Accountability Regime (SEAR) classifies DORA as a 'prescribed contravention,' mandating senior executives to ensure their institutions comply with DORA.</w:t>
      </w:r>
      <w:r/>
    </w:p>
    <w:p>
      <w:pPr>
        <w:pStyle w:val="ListNumber"/>
        <w:spacing w:line="240" w:lineRule="auto"/>
        <w:ind w:left="720"/>
      </w:pPr>
      <w:r/>
      <w:hyperlink r:id="rId11">
        <w:r>
          <w:rPr>
            <w:color w:val="0000EE"/>
            <w:u w:val="single"/>
          </w:rPr>
          <w:t>https://www.fsisac.com/hubfs/Knowledge/DORA/FSISAC_DORA-ImplementationGuidance.pdf</w:t>
        </w:r>
      </w:hyperlink>
      <w:r>
        <w:t xml:space="preserve"> - The FS-ISAC provides guidance on implementing DORA, emphasizing the importance of a detailed project plan and roadmap to address weaknesses and gaps. The plan should include subprojects, milestones, timescales, resources, and costs, with flexibility to accommodate changes introduced in the second batch of DORA standards, finalized in July 2024. The scale of the project depends on the organization's size, existing alignment with DORA, and the maturity of its resilience, risk, and cybersecurity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pguard-staging.webflow.io/blog/dora-compliance-checklist" TargetMode="External"/><Relationship Id="rId10" Type="http://schemas.openxmlformats.org/officeDocument/2006/relationships/hyperlink" Target="https://www.ibm.com/cloud/compliance/dora-eu" TargetMode="External"/><Relationship Id="rId11" Type="http://schemas.openxmlformats.org/officeDocument/2006/relationships/hyperlink" Target="https://www.fsisac.com/hubfs/Knowledge/DORA/FSISAC_DORA-ImplementationGuidance.pdf" TargetMode="External"/><Relationship Id="rId12" Type="http://schemas.openxmlformats.org/officeDocument/2006/relationships/hyperlink" Target="https://www.houseofcontrol.com/checklist-for-dora-compliance" TargetMode="External"/><Relationship Id="rId13" Type="http://schemas.openxmlformats.org/officeDocument/2006/relationships/hyperlink" Target="https://www.fortra.com/compliance/dora" TargetMode="External"/><Relationship Id="rId14" Type="http://schemas.openxmlformats.org/officeDocument/2006/relationships/hyperlink" Target="https://www.dlapiper.com/en-be/insights/publications/2025/02/application-of-the-digital-operational-resilience-act---dora" TargetMode="External"/><Relationship Id="rId15" Type="http://schemas.openxmlformats.org/officeDocument/2006/relationships/hyperlink" Target="https://www.businesswire.com/news/home/20250115443113/en/Eastnets-satisfies-requirements-for-the-EU-Digital-Operational-Resilience-Act-DOR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