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new AMLA authority aims to cut compliance complexity and boost cross-border cooperation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When Claude Bocqueraz addressed senior industry figures and policymakers at the Compliance Council roundtable in the European Parliament this November, he framed simplification as a strategic answer to failing complexity: not a dilution of standards but a means to sharpen AML/CTF effectiveness by removing duplication, inconsistent interpretations and procedural friction. According to the original report, his argument was that clearer, harmonised rules allow firms and supervisors to focus scarce resources on real financial crime risks rather than on bureaucratic compliance tasks. </w:t>
      </w:r>
      <w:hyperlink r:id="rId9">
        <w:r>
          <w:rPr>
            <w:color w:val="0000EE"/>
            <w:u w:val="single"/>
          </w:rPr>
          <w:t>[1]</w:t>
        </w:r>
      </w:hyperlink>
      <w:r/>
    </w:p>
    <w:p>
      <w:r/>
      <w:r>
        <w:t xml:space="preserve">That argument sits at the heart of the EU's recent overhaul of its anti‑money‑laundering architecture, which replaces the patchwork of 27 national rulebooks with a directly applicable, single EU rulebook. The new framework , embodied in the Anti‑Money Laundering Regulation (AMLR), the revised Sixth Anti‑Money‑Laundering Directive (AMLD6) and the legal instrument establishing the Authority for Anti‑Money‑Laundering and Countering the Financing of Terrorism (AMLA) , is expressly designed to increase predictability, reduce conflicting interpretations and cut unnecessary duplication. The regulation establishing AMLA (Regulation (EU) 2024/1620) gives the authority broad supervisory and enforcement powers intended to protect the internal market and financial stability. </w:t>
      </w:r>
      <w:hyperlink r:id="rId9">
        <w:r>
          <w:rPr>
            <w:color w:val="0000EE"/>
            <w:u w:val="single"/>
          </w:rPr>
          <w:t>[1]</w:t>
        </w:r>
      </w:hyperlink>
      <w:hyperlink r:id="rId10">
        <w:r>
          <w:rPr>
            <w:color w:val="0000EE"/>
            <w:u w:val="single"/>
          </w:rPr>
          <w:t>[5]</w:t>
        </w:r>
      </w:hyperlink>
      <w:r/>
    </w:p>
    <w:p>
      <w:r/>
      <w:r>
        <w:t xml:space="preserve">AMLA is intended to deliver that consistency in practice. The agency, to be based in Frankfurt, will coordinate national authorities, set common standards and apply shared methodologies so supervisory outcomes no longer vary widely across member states. According to AMLA's own description, the authority will transform AML/CFT supervision in the EU and strengthen cooperation among Financial Intelligence Units (FIUs), while not directly processing payments or engaging with citizens. The Council and Parliament agreed in February 2024 that Frankfurt would host AMLA, which is expected to open operations in mid‑2025 with an initial complement of more than 400 staff. </w:t>
      </w:r>
      <w:hyperlink r:id="rId11">
        <w:r>
          <w:rPr>
            <w:color w:val="0000EE"/>
            <w:u w:val="single"/>
          </w:rPr>
          <w:t>[3]</w:t>
        </w:r>
      </w:hyperlink>
      <w:hyperlink r:id="rId12">
        <w:r>
          <w:rPr>
            <w:color w:val="0000EE"/>
            <w:u w:val="single"/>
          </w:rPr>
          <w:t>[2]</w:t>
        </w:r>
      </w:hyperlink>
      <w:r/>
    </w:p>
    <w:p>
      <w:r/>
      <w:r>
        <w:t xml:space="preserve">Governance and leadership are already in place: Bruna Szego was appointed Chair on 21 January 2025 and the Executive Board , comprising the Chair and five full‑time members including a Vice‑Chair , will make decisions on supervised entities, supervisory authorities and operational matters. This governance structure is central to AMLA's ability to both exercise direct supervision over the highest‑risk entities and to coordinate peer reviews, training and capacity‑building across the Union. </w:t>
      </w:r>
      <w:hyperlink r:id="rId13">
        <w:r>
          <w:rPr>
            <w:color w:val="0000EE"/>
            <w:u w:val="single"/>
          </w:rPr>
          <w:t>[4]</w:t>
        </w:r>
      </w:hyperlink>
      <w:hyperlink r:id="rId10">
        <w:r>
          <w:rPr>
            <w:color w:val="0000EE"/>
            <w:u w:val="single"/>
          </w:rPr>
          <w:t>[5]</w:t>
        </w:r>
      </w:hyperlink>
      <w:r/>
    </w:p>
    <w:p>
      <w:r/>
      <w:r>
        <w:t xml:space="preserve">The practical effects for firms are immediate and cross‑sectoral. A unified EU framework promises greater cross‑border predictability that should make compliance across European markets more efficient for multinational banks and non‑financial obliged entities alike. Industry advice in the original report urges organisations to map their EU exposure, anticipate the expansion of AMLA's direct supervisory perimeter and invest in automation, analytics, data quality and governance to meet more consistent, data‑driven supervisory expectations. </w:t>
      </w:r>
      <w:hyperlink r:id="rId9">
        <w:r>
          <w:rPr>
            <w:color w:val="0000EE"/>
            <w:u w:val="single"/>
          </w:rPr>
          <w:t>[1]</w:t>
        </w:r>
      </w:hyperlink>
      <w:r/>
    </w:p>
    <w:p>
      <w:r/>
      <w:r>
        <w:t xml:space="preserve">Regulators and industry bodies beyond the EU are already preparing for the ripple effects. The European Banking Authority, for example, welcomed the new framework and committed to supporting a smooth transition, noting that coordinated supervision will make the EU a tougher environment for financial crime. Industry observers say AMLA's technology‑forward model , including expectations around analytics and AI, structured information‑sharing and public–private partnerships , may create competitive pressure for other jurisdictions to modernise their supervisory toolkits. </w:t>
      </w:r>
      <w:hyperlink r:id="rId14">
        <w:r>
          <w:rPr>
            <w:color w:val="0000EE"/>
            <w:u w:val="single"/>
          </w:rPr>
          <w:t>[6]</w:t>
        </w:r>
      </w:hyperlink>
      <w:hyperlink r:id="rId9">
        <w:r>
          <w:rPr>
            <w:color w:val="0000EE"/>
            <w:u w:val="single"/>
          </w:rPr>
          <w:t>[1]</w:t>
        </w:r>
      </w:hyperlink>
      <w:r/>
    </w:p>
    <w:p>
      <w:r/>
      <w:r>
        <w:t xml:space="preserve">Information sharing and operational cooperation are core to the reforms. The new legal basis for structured public–private partnerships, supported by AMLA, is intended to enable timelier, more secure intelligence exchange between regulators, FIUs, law enforcement and private firms. That model, combined with AMLA's role in raising supervisory capacity through training and peer review, seeks to close long‑standing gaps in enforcement and responsiveness. The Council has repeatedly emphasised that the regulation aims to improve both supervision and cross‑border cooperation against terrorist financing and money‑laundering threats. </w:t>
      </w:r>
      <w:hyperlink r:id="rId9">
        <w:r>
          <w:rPr>
            <w:color w:val="0000EE"/>
            <w:u w:val="single"/>
          </w:rPr>
          <w:t>[1]</w:t>
        </w:r>
      </w:hyperlink>
      <w:hyperlink r:id="rId11">
        <w:r>
          <w:rPr>
            <w:color w:val="0000EE"/>
            <w:u w:val="single"/>
          </w:rPr>
          <w:t>[3]</w:t>
        </w:r>
      </w:hyperlink>
      <w:hyperlink r:id="rId15">
        <w:r>
          <w:rPr>
            <w:color w:val="0000EE"/>
            <w:u w:val="single"/>
          </w:rPr>
          <w:t>[7]</w:t>
        </w:r>
      </w:hyperlink>
      <w:r/>
    </w:p>
    <w:p>
      <w:r/>
      <w:r>
        <w:t xml:space="preserve">For many organisations the question is not whether to act but how quickly. The original report recommends early engagement with AMLA's emerging standards, upgrading of detection and reporting capabilities, and a shift from box‑ticking to intelligence‑driven risk management. Non‑financial sectors , legal services, high‑value goods, real estate, gambling and certain manufacturing activities , should treat the harmonised rulebook as material to their compliance roadmaps, not a distant banking issue. </w:t>
      </w:r>
      <w:hyperlink r:id="rId9">
        <w:r>
          <w:rPr>
            <w:color w:val="0000EE"/>
            <w:u w:val="single"/>
          </w:rPr>
          <w:t>[1]</w:t>
        </w:r>
      </w:hyperlink>
      <w:r/>
    </w:p>
    <w:p>
      <w:r/>
      <w:r>
        <w:t xml:space="preserve">Bocqueraz's message that simplification underpins vigilance will be tested as AMLA moves from design to implementation. The EU is wagering that clarity, consistent supervision and data‑led cooperation will make it harder for criminal networks to exploit regulatory fragmentation. How quickly that vision translates into measurable reductions in financial crime will depend on the authority's ability to deploy its supervisory powers, the readiness of obliged entities to upgrade systems and data, and the willingness of non‑EU jurisdictions to converge on comparable standards. Early signals from European institutions and the EBA suggest strong political momentum; the coming months will determine whether harmonisation yields the practical gains Bocqueraz described. </w:t>
      </w:r>
      <w:hyperlink r:id="rId9">
        <w:r>
          <w:rPr>
            <w:color w:val="0000EE"/>
            <w:u w:val="single"/>
          </w:rPr>
          <w:t>[1]</w:t>
        </w:r>
      </w:hyperlink>
      <w:hyperlink r:id="rId10">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(Vinciworks blog) - Paragraph 1, Paragraph 2, Paragraph 5, Paragraph 8, Paragraph 9</w:t>
      </w:r>
      <w:r/>
    </w:p>
    <w:p>
      <w:pPr>
        <w:pStyle w:val="ListBullet"/>
        <w:spacing w:line="240" w:lineRule="auto"/>
        <w:ind w:left="720"/>
      </w:pPr>
      <w:r/>
      <w:hyperlink r:id="rId12">
        <w:r>
          <w:rPr>
            <w:color w:val="0000EE"/>
            <w:u w:val="single"/>
          </w:rPr>
          <w:t>[2]</w:t>
        </w:r>
      </w:hyperlink>
      <w:r>
        <w:t xml:space="preserve"> (Council of the European Union press release) - Paragraph 3</w:t>
      </w:r>
      <w:r/>
    </w:p>
    <w:p>
      <w:pPr>
        <w:pStyle w:val="ListBullet"/>
        <w:spacing w:line="240" w:lineRule="auto"/>
        <w:ind w:left="720"/>
      </w:pPr>
      <w:r/>
      <w:hyperlink r:id="rId11">
        <w:r>
          <w:rPr>
            <w:color w:val="0000EE"/>
            <w:u w:val="single"/>
          </w:rPr>
          <w:t>[3]</w:t>
        </w:r>
      </w:hyperlink>
      <w:r>
        <w:t xml:space="preserve"> (AMLA , About) - Paragraph 3, Paragraph 7</w:t>
      </w:r>
      <w:r/>
    </w:p>
    <w:p>
      <w:pPr>
        <w:pStyle w:val="ListBullet"/>
        <w:spacing w:line="240" w:lineRule="auto"/>
        <w:ind w:left="720"/>
      </w:pPr>
      <w:r/>
      <w:hyperlink r:id="rId13">
        <w:r>
          <w:rPr>
            <w:color w:val="0000EE"/>
            <w:u w:val="single"/>
          </w:rPr>
          <w:t>[4]</w:t>
        </w:r>
      </w:hyperlink>
      <w:r>
        <w:t xml:space="preserve"> (AMLA , Governance) - Paragraph 4</w:t>
      </w:r>
      <w:r/>
    </w:p>
    <w:p>
      <w:pPr>
        <w:pStyle w:val="ListBullet"/>
        <w:spacing w:line="240" w:lineRule="auto"/>
        <w:ind w:left="720"/>
      </w:pPr>
      <w:r/>
      <w:hyperlink r:id="rId10">
        <w:r>
          <w:rPr>
            <w:color w:val="0000EE"/>
            <w:u w:val="single"/>
          </w:rPr>
          <w:t>[5]</w:t>
        </w:r>
      </w:hyperlink>
      <w:r>
        <w:t xml:space="preserve"> (AMLA legal summary / Regulation (EU) 2024/1620) - Paragraph 2, Paragraph 4, Paragraph 9</w:t>
      </w:r>
      <w:r/>
    </w:p>
    <w:p>
      <w:pPr>
        <w:pStyle w:val="ListBullet"/>
        <w:spacing w:line="240" w:lineRule="auto"/>
        <w:ind w:left="720"/>
      </w:pPr>
      <w:r/>
      <w:hyperlink r:id="rId14">
        <w:r>
          <w:rPr>
            <w:color w:val="0000EE"/>
            <w:u w:val="single"/>
          </w:rPr>
          <w:t>[6]</w:t>
        </w:r>
      </w:hyperlink>
      <w:r>
        <w:t xml:space="preserve"> (European Banking Authority press release) - Paragraph 6, Paragraph 9</w:t>
      </w:r>
      <w:r/>
    </w:p>
    <w:p>
      <w:pPr>
        <w:pStyle w:val="ListBullet"/>
        <w:spacing w:line="240" w:lineRule="auto"/>
        <w:ind w:left="720"/>
      </w:pPr>
      <w:r/>
      <w:hyperlink r:id="rId15">
        <w:r>
          <w:rPr>
            <w:color w:val="0000EE"/>
            <w:u w:val="single"/>
          </w:rPr>
          <w:t>[7]</w:t>
        </w:r>
      </w:hyperlink>
      <w:r>
        <w:t xml:space="preserve"> (Council of the European Union , fight against terrorist financing)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https://vinciworks.com/blog/complexity-or-clarity-why-simplifying-aml-rules-could-transform-compliance/</w:t>
        </w:r>
      </w:hyperlink>
      <w:r>
        <w:t xml:space="preserve"> - Please view link - unable to able to access data</w:t>
      </w:r>
      <w:r/>
    </w:p>
    <w:p>
      <w:pPr>
        <w:pStyle w:val="ListNumber"/>
        <w:spacing w:line="240" w:lineRule="auto"/>
        <w:ind w:left="720"/>
      </w:pPr>
      <w:r/>
      <w:hyperlink r:id="rId12">
        <w:r>
          <w:rPr>
            <w:color w:val="0000EE"/>
            <w:u w:val="single"/>
          </w:rPr>
          <w:t>https://www.consilium.europa.eu/en/press/press-releases/2024/02/22/frankfurt-to-host-the-eus-new-anti-money-laundering-authority-amla/</w:t>
        </w:r>
      </w:hyperlink>
      <w:r>
        <w:t xml:space="preserve"> - In February 2024, the Council and the European Parliament agreed that Frankfurt would host the new European Anti-Money Laundering Authority (AMLA). The authority is central to the EU's reform of its anti-money laundering framework and is expected to begin operations in mid-2025 with over 400 staff members. AMLA will have direct and indirect supervisory powers over obliged entities and the authority to impose sanctions and measures.</w:t>
      </w:r>
      <w:r/>
    </w:p>
    <w:p>
      <w:pPr>
        <w:pStyle w:val="ListNumber"/>
        <w:spacing w:line="240" w:lineRule="auto"/>
        <w:ind w:left="720"/>
      </w:pPr>
      <w:r/>
      <w:hyperlink r:id="rId11">
        <w:r>
          <w:rPr>
            <w:color w:val="0000EE"/>
            <w:u w:val="single"/>
          </w:rPr>
          <w:t>https://www.amla.europa.eu/about-amla_en</w:t>
        </w:r>
      </w:hyperlink>
      <w:r>
        <w:t xml:space="preserve"> - The Authority for Anti-Money Laundering and Countering the Financing of Terrorism (AMLA) is a decentralised EU agency established to coordinate national authorities and ensure the consistent application of EU rules. AMLA aims to transform AML/CFT supervision in the EU and enhance cooperation among financial intelligence units (FIUs). It does not engage directly with citizens or process financial transfers.</w:t>
      </w:r>
      <w:r/>
    </w:p>
    <w:p>
      <w:pPr>
        <w:pStyle w:val="ListNumber"/>
        <w:spacing w:line="240" w:lineRule="auto"/>
        <w:ind w:left="720"/>
      </w:pPr>
      <w:r/>
      <w:hyperlink r:id="rId13">
        <w:r>
          <w:rPr>
            <w:color w:val="0000EE"/>
            <w:u w:val="single"/>
          </w:rPr>
          <w:t>https://www.amla.europa.eu/governance_en</w:t>
        </w:r>
      </w:hyperlink>
      <w:r>
        <w:t xml:space="preserve"> - AMLA's governance includes a Chair and an Executive Board. Bruna Szego was appointed Chair on 21 January 2025. The Executive Board comprises the Chair and five full-time members, including the Vice-Chair. The Board is responsible for decisions regarding individual obliged entities, supervisory authorities, the draft budget, and other operational matters.</w:t>
      </w:r>
      <w:r/>
    </w:p>
    <w:p>
      <w:pPr>
        <w:pStyle w:val="ListNumber"/>
        <w:spacing w:line="240" w:lineRule="auto"/>
        <w:ind w:left="720"/>
      </w:pPr>
      <w:r/>
      <w:hyperlink r:id="rId10">
        <w:r>
          <w:rPr>
            <w:color w:val="0000EE"/>
            <w:u w:val="single"/>
          </w:rPr>
          <w:t>https://www.amla.europa.eu/EN/legal-content/summary/authority-for-anti-money-laundering-and-countering-the-financing-of-terrorism.html?fromSummary=23</w:t>
        </w:r>
      </w:hyperlink>
      <w:r>
        <w:t xml:space="preserve"> - Regulation (EU) 2024/1620 establishes AMLA with extensive regulatory and supervisory oversight and enforcement powers over obliged entities and national public authorities. Based in Frankfurt am Main, AMLA aims to strengthen the EU’s framework for preventing financial crime, contributing to the protection of public interest, financial system stability, and the proper functioning of the internal market.</w:t>
      </w:r>
      <w:r/>
    </w:p>
    <w:p>
      <w:pPr>
        <w:pStyle w:val="ListNumber"/>
        <w:spacing w:line="240" w:lineRule="auto"/>
        <w:ind w:left="720"/>
      </w:pPr>
      <w:r/>
      <w:hyperlink r:id="rId14">
        <w:r>
          <w:rPr>
            <w:color w:val="0000EE"/>
            <w:u w:val="single"/>
          </w:rPr>
          <w:t>https://www.eba.europa.eu/publications-and-media/press-releases/eba-welcomes-entry-force-framework-establishing-anti-money-laundering-and-countering-financing</w:t>
        </w:r>
      </w:hyperlink>
      <w:r>
        <w:t xml:space="preserve"> - The European Banking Authority (EBA) welcomed the entry into force of the new EU framework establishing AMLA. The EBA is committed to facilitating a smooth transition and making the EU a hostile place for financial crime. AMLA will directly supervise high-risk financial institutions and coordinate with national authorities to ensure consistent application of AML/CFT rules.</w:t>
      </w:r>
      <w:r/>
    </w:p>
    <w:p>
      <w:pPr>
        <w:pStyle w:val="ListNumber"/>
        <w:spacing w:line="240" w:lineRule="auto"/>
        <w:ind w:left="720"/>
      </w:pPr>
      <w:r/>
      <w:hyperlink r:id="rId15">
        <w:r>
          <w:rPr>
            <w:color w:val="0000EE"/>
            <w:u w:val="single"/>
          </w:rPr>
          <w:t>https://www.consilium.europa.eu/en/policies/fight-against-terrorist-financing/</w:t>
        </w:r>
      </w:hyperlink>
      <w:r>
        <w:t xml:space="preserve"> - On 30 May 2024, the Council adopted a regulation setting up AMLA to improve AML/CFT supervision in the EU and support cooperation between FIUs. AMLA will be based in Frankfurt and begin operations mid-2025. It will have direct and indirect supervisory powers over obliged entities and the authority to impose sanctions and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nciworks.com/blog/complexity-or-clarity-why-simplifying-aml-rules-could-transform-compliance/" TargetMode="External"/><Relationship Id="rId10" Type="http://schemas.openxmlformats.org/officeDocument/2006/relationships/hyperlink" Target="https://www.amla.europa.eu/EN/legal-content/summary/authority-for-anti-money-laundering-and-countering-the-financing-of-terrorism.html?fromSummary=23" TargetMode="External"/><Relationship Id="rId11" Type="http://schemas.openxmlformats.org/officeDocument/2006/relationships/hyperlink" Target="https://www.amla.europa.eu/about-amla_en" TargetMode="External"/><Relationship Id="rId12" Type="http://schemas.openxmlformats.org/officeDocument/2006/relationships/hyperlink" Target="https://www.consilium.europa.eu/en/press/press-releases/2024/02/22/frankfurt-to-host-the-eus-new-anti-money-laundering-authority-amla/" TargetMode="External"/><Relationship Id="rId13" Type="http://schemas.openxmlformats.org/officeDocument/2006/relationships/hyperlink" Target="https://www.amla.europa.eu/governance_en" TargetMode="External"/><Relationship Id="rId14" Type="http://schemas.openxmlformats.org/officeDocument/2006/relationships/hyperlink" Target="https://www.eba.europa.eu/publications-and-media/press-releases/eba-welcomes-entry-force-framework-establishing-anti-money-laundering-and-countering-financing" TargetMode="External"/><Relationship Id="rId15" Type="http://schemas.openxmlformats.org/officeDocument/2006/relationships/hyperlink" Target="https://www.consilium.europa.eu/en/policies/fight-against-terrorist-financ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