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Financial technology firms face existential challenges amid cyber threats and regulatory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global fintech sector is confronting a convergence of threats and openings that together amount to an existential test for firms in the UK and the United States. Firms now face not only increasingly sophisticated state-sponsored cyber operations but also rapid regulatory reform and market moves that together make digital resilience and technological modernisation strategic imperatives. According to the original report, leaders are being forced to treat resilience as a form of compliance: failure to act risks heavy fines, executive fallout and large-scale capital flight. </w:t>
      </w:r>
      <w:hyperlink r:id="rId9">
        <w:r>
          <w:rPr>
            <w:color w:val="0000EE"/>
            <w:u w:val="single"/>
          </w:rPr>
          <w:t>[1]</w:t>
        </w:r>
      </w:hyperlink>
      <w:r/>
    </w:p>
    <w:p>
      <w:r/>
      <w:r>
        <w:t xml:space="preserve">Cyber risk has shifted from opportunistic crime to geopolitical instrument. New research shows 88% of cybersecurity and information-security leaders in the UK and US worry about state-sponsored attacks, with 41% most concerned about large-scale data loss and substantial numbers warning of supply-chain driven operational disruption. Industry data shows organisations reported a high incidence of breaches over the past year, substantial fines for security violations and a worrying correlation between major incidents and leadership changes, underscoring that cyber failure now threatens both balance sheets and boards. </w:t>
      </w:r>
      <w:hyperlink r:id="rId9">
        <w:r>
          <w:rPr>
            <w:color w:val="0000EE"/>
            <w:u w:val="single"/>
          </w:rPr>
          <w:t>[1]</w:t>
        </w:r>
      </w:hyperlink>
      <w:hyperlink r:id="rId10">
        <w:r>
          <w:rPr>
            <w:color w:val="0000EE"/>
            <w:u w:val="single"/>
          </w:rPr>
          <w:t>[2]</w:t>
        </w:r>
      </w:hyperlink>
      <w:r/>
    </w:p>
    <w:p>
      <w:r/>
      <w:r>
        <w:t xml:space="preserve">Public authorities are already signalling a tougher operational environment. Government figures and official warnings point to a measurable uptick in hostile activity: the UK's National Cyber Security Centre recorded a material rise in incidents, including data exfiltration and ransomware, and has substantially increased tailored advisories to affected organisations. The NCSC and other agencies have also flagged the growing role of advanced techniques , including AI , in enabling more damaging attacks, heightening the urgency for proactive threat intelligence and hardened incident response. </w:t>
      </w:r>
      <w:hyperlink r:id="rId11">
        <w:r>
          <w:rPr>
            <w:color w:val="0000EE"/>
            <w:u w:val="single"/>
          </w:rPr>
          <w:t>[3]</w:t>
        </w:r>
      </w:hyperlink>
      <w:hyperlink r:id="rId10">
        <w:r>
          <w:rPr>
            <w:color w:val="0000EE"/>
            <w:u w:val="single"/>
          </w:rPr>
          <w:t>[2]</w:t>
        </w:r>
      </w:hyperlink>
      <w:r/>
    </w:p>
    <w:p>
      <w:r/>
      <w:r>
        <w:t xml:space="preserve">Alongside the security imperative lies a competitive one. Sector analysis highlights that technological stagnation in UK wealth management , where a large share of firms still rely on manual workflows and only a slim majority feel ready to serve younger generations , is accelerating a flight of capital. A Seismic-derived estimate cited in the original report warns that some 16,500 high-net-worth individuals could leave the UK, taking more than £90bn in investable assets if firms fail to modernise. Industry data therefore frames digital transformation as both a client-retention and systemic-commercial priority. </w:t>
      </w:r>
      <w:hyperlink r:id="rId9">
        <w:r>
          <w:rPr>
            <w:color w:val="0000EE"/>
            <w:u w:val="single"/>
          </w:rPr>
          <w:t>[1]</w:t>
        </w:r>
      </w:hyperlink>
      <w:r/>
    </w:p>
    <w:p>
      <w:r/>
      <w:r>
        <w:t xml:space="preserve">Regulators are responding with frameworks that both constrain and enable innovation. In the UK, the Financial Conduct Authority is consulting on stablecoin issuance, custody and prudential arrangements and has created a stablecoin cohort within its regulatory sandbox to test GBP-denominated payment use cases. According to the announcement, this is intended to marry market integrity with innovation and comes as new rules on cryptoasset financial promotions , including personalised risk warnings and a 24-hour cooling-off period for first-time investors , take effect. The initiative illustrates regulatory thinking that aims to bring digital assets into mainstream payments while imposing safeguards. </w:t>
      </w:r>
      <w:hyperlink r:id="rId9">
        <w:r>
          <w:rPr>
            <w:color w:val="0000EE"/>
            <w:u w:val="single"/>
          </w:rPr>
          <w:t>[1]</w:t>
        </w:r>
      </w:hyperlink>
      <w:r/>
    </w:p>
    <w:p>
      <w:r/>
      <w:r>
        <w:t xml:space="preserve">Across the Atlantic, the institutionalisation of digital assets is gathering pace through market structure changes. Following the broader adoption of spot Bitcoin and Ether ETFs, asset managers are preparing ETFs tied to infrastructure tokens. Grayscale's recent filings and industry moves indicate growing regulatory comfort with spot ETFs and tokenised infrastructure exposure. Market reforms in the US have also accelerated ETF approvals, lowering timeframes and prompting a wave of product filings that position tokens such as Chainlink's LINK as potential technology assets for regulated portfolios rather than purely speculative instruments. The company filings and market filings indicate both demand from investors and an industry pivot toward tradable, custody-friendly digital instruments. </w:t>
      </w:r>
      <w:hyperlink r:id="rId9">
        <w:r>
          <w:rPr>
            <w:color w:val="0000EE"/>
            <w:u w:val="single"/>
          </w:rPr>
          <w:t>[1]</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Taken together, the signals facing fintech firms are clear: invest heavily in integrated resilience , from threat intelligence and incident playbooks to supply-chain security , and modernise client-facing and operational technology to avoid capital erosion. According to the original report, the cost of inaction is tangible: regulatory fines, leadership damage and the commercial loss of client assets all loom large. Firms that move decisively will find the regulatory changes and new ETF structures an opening to offer institutionally credible exposure to digital infrastructure; those that do not risk being squeezed out.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(bobsguide) - Paragraph 1, Paragraph 2, Paragraph 4, Paragraph 5, Paragraph 7 </w:t>
      </w:r>
      <w:r/>
    </w:p>
    <w:p>
      <w:pPr>
        <w:pStyle w:val="ListBullet"/>
        <w:spacing w:line="240" w:lineRule="auto"/>
        <w:ind w:left="720"/>
      </w:pPr>
      <w:r/>
      <w:hyperlink r:id="rId10">
        <w:r>
          <w:rPr>
            <w:color w:val="0000EE"/>
            <w:u w:val="single"/>
          </w:rPr>
          <w:t>[2]</w:t>
        </w:r>
      </w:hyperlink>
      <w:r>
        <w:t xml:space="preserve"> (Betanews) - Paragraph 2, Paragraph 3 </w:t>
      </w:r>
      <w:r/>
    </w:p>
    <w:p>
      <w:pPr>
        <w:pStyle w:val="ListBullet"/>
        <w:spacing w:line="240" w:lineRule="auto"/>
        <w:ind w:left="720"/>
      </w:pPr>
      <w:r/>
      <w:hyperlink r:id="rId11">
        <w:r>
          <w:rPr>
            <w:color w:val="0000EE"/>
            <w:u w:val="single"/>
          </w:rPr>
          <w:t>[3]</w:t>
        </w:r>
      </w:hyperlink>
      <w:r>
        <w:t xml:space="preserve"> (Reuters) - Paragraph 3 </w:t>
      </w:r>
      <w:r/>
    </w:p>
    <w:p>
      <w:pPr>
        <w:pStyle w:val="ListBullet"/>
        <w:spacing w:line="240" w:lineRule="auto"/>
        <w:ind w:left="720"/>
      </w:pPr>
      <w:r/>
      <w:hyperlink r:id="rId12">
        <w:r>
          <w:rPr>
            <w:color w:val="0000EE"/>
            <w:u w:val="single"/>
          </w:rPr>
          <w:t>[4]</w:t>
        </w:r>
      </w:hyperlink>
      <w:r>
        <w:t xml:space="preserve"> (Reuters) - Paragraph 6 </w:t>
      </w:r>
      <w:r/>
    </w:p>
    <w:p>
      <w:pPr>
        <w:pStyle w:val="ListBullet"/>
        <w:spacing w:line="240" w:lineRule="auto"/>
        <w:ind w:left="720"/>
      </w:pPr>
      <w:r/>
      <w:hyperlink r:id="rId13">
        <w:r>
          <w:rPr>
            <w:color w:val="0000EE"/>
            <w:u w:val="single"/>
          </w:rPr>
          <w:t>[5]</w:t>
        </w:r>
      </w:hyperlink>
      <w:r>
        <w:t xml:space="preserve"> (Reuters) - Paragraph 6 </w:t>
      </w:r>
      <w:r/>
    </w:p>
    <w:p>
      <w:pPr>
        <w:pStyle w:val="ListBullet"/>
        <w:spacing w:line="240" w:lineRule="auto"/>
        <w:ind w:left="720"/>
      </w:pPr>
      <w:r/>
      <w:hyperlink r:id="rId14">
        <w:r>
          <w:rPr>
            <w:color w:val="0000EE"/>
            <w:u w:val="single"/>
          </w:rPr>
          <w:t>[6]</w:t>
        </w:r>
      </w:hyperlink>
      <w:r>
        <w:t xml:space="preserve"> (Reuters) - Paragraph 6 </w:t>
      </w:r>
      <w:r/>
    </w:p>
    <w:p>
      <w:pPr>
        <w:pStyle w:val="ListBullet"/>
        <w:spacing w:line="240" w:lineRule="auto"/>
        <w:ind w:left="720"/>
      </w:pPr>
      <w:r/>
      <w:hyperlink r:id="rId15">
        <w:r>
          <w:rPr>
            <w:color w:val="0000EE"/>
            <w:u w:val="single"/>
          </w:rPr>
          <w:t>[7]</w:t>
        </w:r>
      </w:hyperlink>
      <w:r>
        <w:t xml:space="preserve"> (CoinDesk)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https://www.bobsguide.com/fintechs-riskiest-waters-the-existential-threat-and-regulatory-crucible/</w:t>
        </w:r>
      </w:hyperlink>
      <w:r>
        <w:t xml:space="preserve"> - Please view link - unable to able to access data</w:t>
      </w:r>
      <w:r/>
    </w:p>
    <w:p>
      <w:pPr>
        <w:pStyle w:val="ListNumber"/>
        <w:spacing w:line="240" w:lineRule="auto"/>
        <w:ind w:left="720"/>
      </w:pPr>
      <w:r/>
      <w:hyperlink r:id="rId10">
        <w:r>
          <w:rPr>
            <w:color w:val="0000EE"/>
            <w:u w:val="single"/>
          </w:rPr>
          <w:t>https://betanews.com/2025/12/02/88-percent-of-organizations-worried-about-state-sponsored-cyberattacks/</w:t>
        </w:r>
      </w:hyperlink>
      <w:r>
        <w:t xml:space="preserve"> - A recent study reveals that 88% of cybersecurity leaders in the UK and US are concerned about state-sponsored cyberattacks. The research highlights the strategic nature of cyber risks and the increasing geopolitical threats, with 33% of organizations worried about an expanded threat landscape targeting their systems. The study also points out that 41% of respondents fear large-scale data loss or inaccessibility, and 38% are anxious about supply chain-driven operational disruptions. Despite these concerns, one-third of organizations believe government support remains insufficient, indicating a gap between national defense and private-sector resilience.</w:t>
      </w:r>
      <w:r/>
    </w:p>
    <w:p>
      <w:pPr>
        <w:pStyle w:val="ListNumber"/>
        <w:spacing w:line="240" w:lineRule="auto"/>
        <w:ind w:left="720"/>
      </w:pPr>
      <w:r/>
      <w:hyperlink r:id="rId11">
        <w:r>
          <w:rPr>
            <w:color w:val="0000EE"/>
            <w:u w:val="single"/>
          </w:rPr>
          <w:t>https://www.reuters.com/technology/cybersecurity/uk-facing-increased-hostile-activity-cyberspace-security-official-warns-2024-12-03/</w:t>
        </w:r>
      </w:hyperlink>
      <w:r>
        <w:t xml:space="preserve"> - In 2024, the UK's National Cyber Security Centre (NCSC) reported a 16% increase in cyber incidents compared to the previous year, highlighting a rise in both the frequency and complexity of hostile cyber activities. The agency managed 430 incidents, including 347 involving data exfiltration and 20 ransomware attacks. NCSC also issued 542 customized advisories to affected organizations, more than double the number from 2023. Richard Horne, the NCSC's chief, warned of growing threats as malicious actors exploit the UK's dependence on digital technology to inflict disruption and damage. The organization emphasized that ransomware remains the most immediate threat to critical national infrastructure, such as energy, healthcare, and transportation. Additionally, the NCSC expressed concern about the potential for AI technologies to advance cyber attacks, underscoring a widespread underestimation of the threat posed by state-led and criminal cyber activities.</w:t>
      </w:r>
      <w:r/>
    </w:p>
    <w:p>
      <w:pPr>
        <w:pStyle w:val="ListNumber"/>
        <w:spacing w:line="240" w:lineRule="auto"/>
        <w:ind w:left="720"/>
      </w:pPr>
      <w:r/>
      <w:hyperlink r:id="rId12">
        <w:r>
          <w:rPr>
            <w:color w:val="0000EE"/>
            <w:u w:val="single"/>
          </w:rPr>
          <w:t>https://www.reuters.com/technology/grayscale-pursues-spin-off-spot-bitcoin-etf-2024-03-12/</w:t>
        </w:r>
      </w:hyperlink>
      <w:r>
        <w:t xml:space="preserve"> - Grayscale Investments has filed to spin off a portion of its Grayscale Bitcoin Trust (GBTC) into a new, lower-fee investment vehicle called the Grayscale Bitcoin Mini Trust. This move comes as Grayscale seeks to remain competitive after GBTC, which converted to a spot Bitcoin ETF in January, faced steep capital outflows of $11.05 billion amid rising competition from lower-fee rivals like BlackRock's iShares Bitcoin ETF and Fidelity's Wise Origin Bitcoin Fund. The new Mini Trust will receive a portion of the bitcoin currently held by GBTC, and existing GBTC shareholders will receive shares in the Mini Trust. Grayscale has not yet disclosed the fee structure for the new trust. Following the spin-off, GBTC and the Mini Trust will operate independently. This development follows Grayscale's landmark legal victory against the SEC, which led to the broader approval of spot bitcoin ETFs. The enthusiasm around these ETFs and market expectations for interest rate cuts have helped push bitcoin prices to a record high above $72,000.</w:t>
      </w:r>
      <w:r/>
    </w:p>
    <w:p>
      <w:pPr>
        <w:pStyle w:val="ListNumber"/>
        <w:spacing w:line="240" w:lineRule="auto"/>
        <w:ind w:left="720"/>
      </w:pPr>
      <w:r/>
      <w:hyperlink r:id="rId13">
        <w:r>
          <w:rPr>
            <w:color w:val="0000EE"/>
            <w:u w:val="single"/>
          </w:rPr>
          <w:t>https://www.reuters.com/technology/us-regulators-could-approve-spot-ether-etfs-launch-by-july-4-sources-say-2024-06-26/</w:t>
        </w:r>
      </w:hyperlink>
      <w:r>
        <w:t xml:space="preserve"> - U.S. regulators may approve spot Ether exchange-traded funds (ETFs) as early as July 4, according to sources familiar with discussions between asset managers and the Securities and Exchange Commission (SEC). Eight firms, including BlackRock, VanEck, Franklin Templeton, and Grayscale, are seeking SEC approval following their involvement in earlier spot Bitcoin ETFs launched in January. Discussions are reportedly in the final stages, with only minor adjustments remaining in offering documents. The SEC has already approved exchange rule changes necessary for trading on NYSE, Nasdaq, and Cboe, meaning that once filings are finalized, trading could begin within 24 hours. While the spot Bitcoin ETF launch drew significant interest—attracting $8 billion initially and now totaling nearly $38 billion in assets—analysts are less optimistic about Ether ETFs. Factors such as Ethereum’s smaller market size and lower trading volumes are expected to yield more modest investor enthusiasm. The Ether price has dropped over 11% in June, compared to a 9.8% decrease in Bitcoin, further tempering expectations. Despite this, industry participants are optimistic that SEC approval is imminent, pending final adjustments by the issuers.</w:t>
      </w:r>
      <w:r/>
    </w:p>
    <w:p>
      <w:pPr>
        <w:pStyle w:val="ListNumber"/>
        <w:spacing w:line="240" w:lineRule="auto"/>
        <w:ind w:left="720"/>
      </w:pPr>
      <w:r/>
      <w:hyperlink r:id="rId14">
        <w:r>
          <w:rPr>
            <w:color w:val="0000EE"/>
            <w:u w:val="single"/>
          </w:rPr>
          <w:t>https://www.reuters.com/legal/government/crypto-etfs-set-flood-us-market-regulator-streamlines-approvals-2025-09-24/</w:t>
        </w:r>
      </w:hyperlink>
      <w:r>
        <w:t xml:space="preserve"> - The U.S. cryptocurrency exchange-traded fund (ETF) market is poised for rapid growth following the Securities and Exchange Commission’s (SEC) recent overhaul of its approval process. The updated rules streamline the launch of crypto ETFs, eliminating the lengthy case-by-case approval by allowing products that meet predefined criteria to be approved in as little as 75 days, down from 270. This regulatory shift is expected to unleash a wave of new ETFs tied to digital assets like Solana and XRP, with launches anticipated as early as October 2025. There are currently 21 ETFs holding Bitcoin or Ethereum, and many issuers—including Grayscale Investments, Bitwise, Canary Capital, and VanEck—are actively preparing new filings. The changes have generated enthusiasm among asset managers, who are racing to capitalize on market demand. Grayscale led the charge by quickly converting its private fund into a public ETF featuring Bitcoin, Ethereum, XRP, Solana, and Cardano. To qualify for expedited approval, a crypto ETF must meet one of three criteria, such as being based on a coin with CFTC-regulated futures or being related to an existing ETF heavily invested in the cryptocurrency. However, concerns remain about investor education and demand for ETFs based on lesser-known coins.</w:t>
      </w:r>
      <w:r/>
    </w:p>
    <w:p>
      <w:pPr>
        <w:pStyle w:val="ListNumber"/>
        <w:spacing w:line="240" w:lineRule="auto"/>
        <w:ind w:left="720"/>
      </w:pPr>
      <w:r/>
      <w:hyperlink r:id="rId15">
        <w:r>
          <w:rPr>
            <w:color w:val="0000EE"/>
            <w:u w:val="single"/>
          </w:rPr>
          <w:t>https://www.coindesk.com/markets/2025/09/08/chainlink-jumps-as-grayscale-files-for-first-ever-u-s-chainlink-etf</w:t>
        </w:r>
      </w:hyperlink>
      <w:r>
        <w:t xml:space="preserve"> - The proposed ETF — if approved — would trade on NYSE Arca under the ticker GLNK, according to a Monday S-1 registration statement submitted to the regulator. This is one of two documents required to make an ETF application official. Chainlink's LINK token is higher by 3% over the past 24 hours alongside a general rally in altcions that's seen XRP add 2.6%, SOL 5% and DOGE 7.4%. Grayscale's filing also includes a potential staking feature. If permitted, the fund could use third-party staking providers while keeping the LINK tokens in custodian wallets. Staking rewards could be retained by the fund, distributed to shareholders, or sold to cover expenses, depending on future regulatory guidance. The product would convert from the Grayscale Chainlink Trust, which has existed since February 2026 and currently manages nearly $29 million in assets. Coinbase Custody Trust Company would serve as custodian. The ETF would process share creations and redemptions in cash, mirroring the structure used by recently approved spot bitcoin BTC$90.888,41 and ethereum ETH$2993,86 ETFs.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obsguide.com/fintechs-riskiest-waters-the-existential-threat-and-regulatory-crucible/" TargetMode="External"/><Relationship Id="rId10" Type="http://schemas.openxmlformats.org/officeDocument/2006/relationships/hyperlink" Target="https://betanews.com/2025/12/02/88-percent-of-organizations-worried-about-state-sponsored-cyberattacks/" TargetMode="External"/><Relationship Id="rId11" Type="http://schemas.openxmlformats.org/officeDocument/2006/relationships/hyperlink" Target="https://www.reuters.com/technology/cybersecurity/uk-facing-increased-hostile-activity-cyberspace-security-official-warns-2024-12-03/" TargetMode="External"/><Relationship Id="rId12" Type="http://schemas.openxmlformats.org/officeDocument/2006/relationships/hyperlink" Target="https://www.reuters.com/technology/grayscale-pursues-spin-off-spot-bitcoin-etf-2024-03-12/" TargetMode="External"/><Relationship Id="rId13" Type="http://schemas.openxmlformats.org/officeDocument/2006/relationships/hyperlink" Target="https://www.reuters.com/technology/us-regulators-could-approve-spot-ether-etfs-launch-by-july-4-sources-say-2024-06-26/" TargetMode="External"/><Relationship Id="rId14" Type="http://schemas.openxmlformats.org/officeDocument/2006/relationships/hyperlink" Target="https://www.reuters.com/legal/government/crypto-etfs-set-flood-us-market-regulator-streamlines-approvals-2025-09-24/" TargetMode="External"/><Relationship Id="rId15" Type="http://schemas.openxmlformats.org/officeDocument/2006/relationships/hyperlink" Target="https://www.coindesk.com/markets/2025/09/08/chainlink-jumps-as-grayscale-files-for-first-ever-u-s-chainlink-et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