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AI advances on domain-specific models to improve safety and accuracy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Foundation models such as OpenAI’s GPT‑4 and Meta’s LLaMA have reshaped natural language capabilities, but applying them safely and usefully in medicine requires more than generic training. According to the original report, the specialised vocabulary, procedural reasoning and contextual factors intrinsic to healthcare , where words like “positive” or “stat” carry domain‑specific meanings , mean that general-purpose models can make clinically consequential errors unless they are adapted with domain knowledge. </w:t>
      </w:r>
      <w:hyperlink r:id="rId9">
        <w:r>
          <w:rPr>
            <w:color w:val="0000EE"/>
            <w:u w:val="single"/>
          </w:rPr>
          <w:t>[1]</w:t>
        </w:r>
      </w:hyperlink>
      <w:hyperlink r:id="rId9">
        <w:r>
          <w:rPr>
            <w:color w:val="0000EE"/>
            <w:u w:val="single"/>
          </w:rPr>
          <w:t>[2]</w:t>
        </w:r>
      </w:hyperlink>
      <w:r/>
    </w:p>
    <w:p>
      <w:r/>
      <w:r>
        <w:t xml:space="preserve">One proven path is to create domain‑specific large language models (LLMs) either by training from scratch on medical corpora or by fine‑tuning foundation models with curated clinical datasets. Industry data shows both approaches have trade‑offs: training from scratch demands vast, high‑quality data and compute, while fine‑tuning lets organisations leverage existing foundation capabilities with a smaller, targeted dataset to capture medical terminology and clinical reasoning. Gartner’s research highlights that domain‑specific LLMs deliver greater precision, cost‑efficiency and regulatory alignment for healthcare use cases. </w:t>
      </w:r>
      <w:hyperlink r:id="rId9">
        <w:r>
          <w:rPr>
            <w:color w:val="0000EE"/>
            <w:u w:val="single"/>
          </w:rPr>
          <w:t>[1]</w:t>
        </w:r>
      </w:hyperlink>
      <w:hyperlink r:id="rId10">
        <w:r>
          <w:rPr>
            <w:color w:val="0000EE"/>
            <w:u w:val="single"/>
          </w:rPr>
          <w:t>[4]</w:t>
        </w:r>
      </w:hyperlink>
      <w:r/>
    </w:p>
    <w:p>
      <w:r/>
      <w:r>
        <w:t xml:space="preserve">Proprietary clinical data , electronic health records, insurance claims, clinical trial records and operational workflows , is central to making AI agents relevant at the point of care. The company said in a statement that combining foundation models with such private datasets improves personalised recommendations, helps the model follow local protocols and enables more meaningful decision support, for example by identifying care gaps and predicting adverse events from real patient histories. </w:t>
      </w:r>
      <w:hyperlink r:id="rId9">
        <w:r>
          <w:rPr>
            <w:color w:val="0000EE"/>
            <w:u w:val="single"/>
          </w:rPr>
          <w:t>[1]</w:t>
        </w:r>
      </w:hyperlink>
      <w:r/>
    </w:p>
    <w:p>
      <w:r/>
      <w:r>
        <w:t xml:space="preserve">Cloud vendor tools are beginning to bridge the gap between experimental models and deployed healthcare agents. The original report describes AWS’s AgentCore and related services, which provide a serverless runtime, session separation, permission controls and integrations with identity providers such as Amazon Cognito and Okta to help meet HIPAA and enterprise security needs. The company claims these features help healthcare organisations manage memory, recall‑augmented generation and accelerate safe production use. </w:t>
      </w:r>
      <w:hyperlink r:id="rId9">
        <w:r>
          <w:rPr>
            <w:color w:val="0000EE"/>
            <w:u w:val="single"/>
          </w:rPr>
          <w:t>[1]</w:t>
        </w:r>
      </w:hyperlink>
      <w:r/>
    </w:p>
    <w:p>
      <w:r/>
      <w:r>
        <w:t xml:space="preserve">Enterprises are also experimenting with storage and retrieval patterns that keep sensitive patient vectors local while still enabling rapid context retrieval. According to the original report, using vectorised stores like Amazon S3 Vectors together with RAG (recall‑augmented generation) allows agents to ground answers in current, auditable records rather than relying solely on the foundation model’s pretrained knowledge. That auditing capacity is important for clinical governance and regulatory compliance. </w:t>
      </w:r>
      <w:hyperlink r:id="rId9">
        <w:r>
          <w:rPr>
            <w:color w:val="0000EE"/>
            <w:u w:val="single"/>
          </w:rPr>
          <w:t>[1]</w:t>
        </w:r>
      </w:hyperlink>
      <w:r/>
    </w:p>
    <w:p>
      <w:r/>
      <w:r>
        <w:t xml:space="preserve">Practical automation opportunities in front‑ and back‑office workflows are already emerging. The original report and vendor examples point to scheduling and reminder systems, automated insurance eligibility checks, triage routing, call summarisation and document drafting as high‑value areas where AI can reduce administrative burden. Simbo AI’s focus on front‑office phone automation illustrates how tailored agents can streamline patient access while integrating with EHRs and practice management systems. </w:t>
      </w:r>
      <w:hyperlink r:id="rId9">
        <w:r>
          <w:rPr>
            <w:color w:val="0000EE"/>
            <w:u w:val="single"/>
          </w:rPr>
          <w:t>[1]</w:t>
        </w:r>
      </w:hyperlink>
      <w:r/>
    </w:p>
    <w:p>
      <w:r/>
      <w:r>
        <w:t xml:space="preserve">Performance comparisons and independent studies underline that open, specialised models can rival or exceed large proprietary models on medical tasks when they are trained and validated appropriately. A recent study found an open‑source LLM outperformed GPT‑4 in diagnosing complex cases, and examples such as Med‑PaLM demonstrate that purpose‑built medical models can achieve stronger clinical task performance when evaluated on benchmarks like USMLE‑style questions. These findings suggest healthcare organisations should consider both closed and open models when balancing accuracy, transparency and operational control. </w:t>
      </w:r>
      <w:hyperlink r:id="rId11">
        <w:r>
          <w:rPr>
            <w:color w:val="0000EE"/>
            <w:u w:val="single"/>
          </w:rPr>
          <w:t>[7]</w:t>
        </w:r>
      </w:hyperlink>
      <w:hyperlink r:id="rId12">
        <w:r>
          <w:rPr>
            <w:color w:val="0000EE"/>
            <w:u w:val="single"/>
          </w:rPr>
          <w:t>[5]</w:t>
        </w:r>
      </w:hyperlink>
      <w:r/>
    </w:p>
    <w:p>
      <w:r/>
      <w:r>
        <w:t xml:space="preserve">Despite promise, significant challenges remain. The original report stresses data privacy, security, regulatory adherence and bias mitigation , noting that fine‑tuning on balanced, institution‑specific datasets reduces some risks but does not eliminate them. Gartner’s guidance urges CIOs to design pilots with clear governance, monitoring and human oversight so AI augments clinicians rather than replaces critical diagnostic judgement. </w:t>
      </w:r>
      <w:hyperlink r:id="rId9">
        <w:r>
          <w:rPr>
            <w:color w:val="0000EE"/>
            <w:u w:val="single"/>
          </w:rPr>
          <w:t>[1]</w:t>
        </w:r>
      </w:hyperlink>
      <w:hyperlink r:id="rId10">
        <w:r>
          <w:rPr>
            <w:color w:val="0000EE"/>
            <w:u w:val="single"/>
          </w:rPr>
          <w:t>[4]</w:t>
        </w:r>
      </w:hyperlink>
      <w:r/>
    </w:p>
    <w:p>
      <w:r/>
      <w:r>
        <w:t xml:space="preserve">Moving from pilots to scale will require organisations to combine technological controls, clinical validation and flexible integration patterns. Industry training and educational initiatives, such as cloud providers’ healthcare AI courses, can help clinical and technical teams understand model limitations and governance requirements. The combined evidence indicates that the most practical path forward is a hybrid one: leverage powerful foundation models while anchoring them with proprietary, well‑governed medical data and iterative clinical validation to produce AI agents that are both accurate and operationally safe. </w:t>
      </w:r>
      <w:hyperlink r:id="rId13">
        <w:r>
          <w:rPr>
            <w:color w:val="0000EE"/>
            <w:u w:val="single"/>
          </w:rPr>
          <w:t>[6]</w:t>
        </w:r>
      </w:hyperlink>
      <w:hyperlink r:id="rId9">
        <w:r>
          <w:rPr>
            <w:color w:val="0000EE"/>
            <w:u w:val="single"/>
          </w:rPr>
          <w:t>[1]</w:t>
        </w:r>
      </w:hyperlink>
      <w:hyperlink r:id="rId10">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(Simbo AI blog) - Paragraph 1, Paragraph 3, Paragraph 4, Paragraph 5, Paragraph 6, Paragraph 8, Paragraph 9</w:t>
      </w:r>
      <w:r/>
    </w:p>
    <w:p>
      <w:pPr>
        <w:pStyle w:val="ListBullet"/>
        <w:spacing w:line="240" w:lineRule="auto"/>
        <w:ind w:left="720"/>
      </w:pPr>
      <w:r/>
      <w:hyperlink r:id="rId9">
        <w:r>
          <w:rPr>
            <w:color w:val="0000EE"/>
            <w:u w:val="single"/>
          </w:rPr>
          <w:t>[2]</w:t>
        </w:r>
      </w:hyperlink>
      <w:r>
        <w:t xml:space="preserve"> (Simbo AI summary) - Paragraph 1</w:t>
      </w:r>
      <w:r/>
    </w:p>
    <w:p>
      <w:pPr>
        <w:pStyle w:val="ListBullet"/>
        <w:spacing w:line="240" w:lineRule="auto"/>
        <w:ind w:left="720"/>
      </w:pPr>
      <w:r/>
      <w:hyperlink r:id="rId14">
        <w:r>
          <w:rPr>
            <w:color w:val="0000EE"/>
            <w:u w:val="single"/>
          </w:rPr>
          <w:t>[3]</w:t>
        </w:r>
      </w:hyperlink>
      <w:r>
        <w:t xml:space="preserve"> (Reuters) - Paragraph 2</w:t>
      </w:r>
      <w:r/>
    </w:p>
    <w:p>
      <w:pPr>
        <w:pStyle w:val="ListBullet"/>
        <w:spacing w:line="240" w:lineRule="auto"/>
        <w:ind w:left="720"/>
      </w:pPr>
      <w:r/>
      <w:hyperlink r:id="rId10">
        <w:r>
          <w:rPr>
            <w:color w:val="0000EE"/>
            <w:u w:val="single"/>
          </w:rPr>
          <w:t>[4]</w:t>
        </w:r>
      </w:hyperlink>
      <w:r>
        <w:t xml:space="preserve"> (Gartner) - Paragraph 2, Paragraph 8, Paragraph 9</w:t>
      </w:r>
      <w:r/>
    </w:p>
    <w:p>
      <w:pPr>
        <w:pStyle w:val="ListBullet"/>
        <w:spacing w:line="240" w:lineRule="auto"/>
        <w:ind w:left="720"/>
      </w:pPr>
      <w:r/>
      <w:hyperlink r:id="rId12">
        <w:r>
          <w:rPr>
            <w:color w:val="0000EE"/>
            <w:u w:val="single"/>
          </w:rPr>
          <w:t>[5]</w:t>
        </w:r>
      </w:hyperlink>
      <w:r>
        <w:t xml:space="preserve"> (TheDataScientist) - Paragraph 7</w:t>
      </w:r>
      <w:r/>
    </w:p>
    <w:p>
      <w:pPr>
        <w:pStyle w:val="ListBullet"/>
        <w:spacing w:line="240" w:lineRule="auto"/>
        <w:ind w:left="720"/>
      </w:pPr>
      <w:r/>
      <w:hyperlink r:id="rId13">
        <w:r>
          <w:rPr>
            <w:color w:val="0000EE"/>
            <w:u w:val="single"/>
          </w:rPr>
          <w:t>[6]</w:t>
        </w:r>
      </w:hyperlink>
      <w:r>
        <w:t xml:space="preserve"> (Google Cloud training) - Paragraph 9</w:t>
      </w:r>
      <w:r/>
    </w:p>
    <w:p>
      <w:pPr>
        <w:pStyle w:val="ListBullet"/>
        <w:spacing w:line="240" w:lineRule="auto"/>
        <w:ind w:left="720"/>
      </w:pPr>
      <w:r/>
      <w:hyperlink r:id="rId11">
        <w:r>
          <w:rPr>
            <w:color w:val="0000EE"/>
            <w:u w:val="single"/>
          </w:rPr>
          <w:t>[7]</w:t>
        </w:r>
      </w:hyperlink>
      <w:r>
        <w:t xml:space="preserve"> (AZoAI news)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https://www.simbo.ai/blog/enhancing-healthcare-ai-agent-accuracy-and-relevance-through-combining-advanced-foundation-models-with-proprietary-domain-specific-medical-data-1752188/</w:t>
        </w:r>
      </w:hyperlink>
      <w:r>
        <w:t xml:space="preserve"> - Please view link - unable to able to access data</w:t>
      </w:r>
      <w:r/>
    </w:p>
    <w:p>
      <w:pPr>
        <w:pStyle w:val="ListNumber"/>
        <w:spacing w:line="240" w:lineRule="auto"/>
        <w:ind w:left="720"/>
      </w:pPr>
      <w:r/>
      <w:hyperlink r:id="rId9">
        <w:r>
          <w:rPr>
            <w:color w:val="0000EE"/>
            <w:u w:val="single"/>
          </w:rPr>
          <w:t>https://www.simbo.ai/blog/enhancing-healthcare-ai-agent-accuracy-and-relevance-through-combining-advanced-foundation-models-with-proprietary-domain-specific-medical-data-1752188/</w:t>
        </w:r>
      </w:hyperlink>
      <w:r>
        <w:t xml:space="preserve"> - This article discusses the integration of advanced foundation models, such as OpenAI's GPT-4 and Meta's LLaMA, with proprietary, domain-specific medical data to enhance the accuracy and relevance of healthcare AI agents. It highlights the challenges of applying general-purpose AI models to the healthcare sector, emphasizing the need for models that comprehend medical terminology and context. The piece also explores the importance of proprietary medical data, including electronic health records and clinical trials, in fine-tuning AI models to improve decision support and workflow automation in healthcare settings.</w:t>
      </w:r>
      <w:r/>
    </w:p>
    <w:p>
      <w:pPr>
        <w:pStyle w:val="ListNumber"/>
        <w:spacing w:line="240" w:lineRule="auto"/>
        <w:ind w:left="720"/>
      </w:pPr>
      <w:r/>
      <w:hyperlink r:id="rId14">
        <w:r>
          <w:rPr>
            <w:color w:val="0000EE"/>
            <w:u w:val="single"/>
          </w:rPr>
          <w:t>https://www.reuters.com/technology/meta-releases-new-ai-model-llama-4-2025-04-05/</w:t>
        </w:r>
      </w:hyperlink>
      <w:r>
        <w:t xml:space="preserve"> - Meta Platforms has unveiled its latest large language model, Llama 4, introducing two variants: Llama 4 Scout and Llama 4 Maverick. These models are part of a multimodal system capable of processing and integrating text, audio, video, and images. Meta has committed to releasing Llama 4 Scout and Maverick as open-source software, furthering its dedication to transparency and collaboration in AI development. Additionally, Meta previewed Llama 4 Behemoth, described as one of the world's most intelligent and powerful LLMs, intended to serve as a foundation for future models.</w:t>
      </w:r>
      <w:r/>
    </w:p>
    <w:p>
      <w:pPr>
        <w:pStyle w:val="ListNumber"/>
        <w:spacing w:line="240" w:lineRule="auto"/>
        <w:ind w:left="720"/>
      </w:pPr>
      <w:r/>
      <w:hyperlink r:id="rId10">
        <w:r>
          <w:rPr>
            <w:color w:val="0000EE"/>
            <w:u w:val="single"/>
          </w:rPr>
          <w:t>https://www.gartner.com/en/documents/7067598</w:t>
        </w:r>
      </w:hyperlink>
      <w:r>
        <w:t xml:space="preserve"> - Gartner's research highlights the growing adoption of domain-specific large language models (LLMs) in healthcare, emphasizing their advantages over general-purpose models. These specialized models offer increased precision, cost-efficiency, and regulatory compliance, making them more suitable for healthcare applications. The report provides insights into the benefits and risks associated with domain-specific LLMs, offering guidance for healthcare provider CIOs on leveraging these technologies effectively.</w:t>
      </w:r>
      <w:r/>
    </w:p>
    <w:p>
      <w:pPr>
        <w:pStyle w:val="ListNumber"/>
        <w:spacing w:line="240" w:lineRule="auto"/>
        <w:ind w:left="720"/>
      </w:pPr>
      <w:r/>
      <w:hyperlink r:id="rId12">
        <w:r>
          <w:rPr>
            <w:color w:val="0000EE"/>
            <w:u w:val="single"/>
          </w:rPr>
          <w:t>https://thedatascientist.com/5-best-examples-of-domain-specific-llms-in-ai/</w:t>
        </w:r>
      </w:hyperlink>
      <w:r>
        <w:t xml:space="preserve"> - This article presents five notable examples of domain-specific large language models (LLMs) in AI, including Med-PaLM 2, a model developed by Google specifically for the healthcare industry. Med-PaLM 2 is trained on extensive medical datasets, such as textbooks, research papers, and patient records, enabling it to understand complex medical language and concepts. The model's performance is evaluated through its ability to answer challenging US Medical Licensing Examination (USMLE) style questions, demonstrating its potential in medical applications.</w:t>
      </w:r>
      <w:r/>
    </w:p>
    <w:p>
      <w:pPr>
        <w:pStyle w:val="ListNumber"/>
        <w:spacing w:line="240" w:lineRule="auto"/>
        <w:ind w:left="720"/>
      </w:pPr>
      <w:r/>
      <w:hyperlink r:id="rId13">
        <w:r>
          <w:rPr>
            <w:color w:val="0000EE"/>
            <w:u w:val="single"/>
          </w:rPr>
          <w:t>https://www.cloudskillsboost.google/course_templates/1081/video/576978</w:t>
        </w:r>
      </w:hyperlink>
      <w:r>
        <w:t xml:space="preserve"> - Google Cloud's 'Generative AI for Healthcare' course offers an in-depth exploration of large language models (LLMs) tailored for the healthcare sector. The course covers the development and application of domain-specific LLMs, providing insights into their role in enhancing healthcare services. It emphasizes the importance of specialized models in addressing the unique challenges of the healthcare industry, including regulatory compliance and data privacy concerns.</w:t>
      </w:r>
      <w:r/>
    </w:p>
    <w:p>
      <w:pPr>
        <w:pStyle w:val="ListNumber"/>
        <w:spacing w:line="240" w:lineRule="auto"/>
        <w:ind w:left="720"/>
      </w:pPr>
      <w:r/>
      <w:hyperlink r:id="rId11">
        <w:r>
          <w:rPr>
            <w:color w:val="0000EE"/>
            <w:u w:val="single"/>
          </w:rPr>
          <w:t>https://www.azoai.com/news/20250316/Open-Source-AI-Beats-GPT-4-in-Diagnosing-Tough-Medical-Cases-Study-Finds.aspx</w:t>
        </w:r>
      </w:hyperlink>
      <w:r>
        <w:t xml:space="preserve"> - A recent study found that an open-source large language model outperformed GPT-4 in diagnosing complex medical cases. The research demonstrated that the open-source model achieved a correct diagnosis in 70% of cases, compared to 64% for GPT-4. This highlights the potential of open-source AI models in providing accurate diagnostic support, offering healthcare providers greater control over AI integration in clinical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enhancing-healthcare-ai-agent-accuracy-and-relevance-through-combining-advanced-foundation-models-with-proprietary-domain-specific-medical-data-1752188/" TargetMode="External"/><Relationship Id="rId10" Type="http://schemas.openxmlformats.org/officeDocument/2006/relationships/hyperlink" Target="https://www.gartner.com/en/documents/7067598" TargetMode="External"/><Relationship Id="rId11" Type="http://schemas.openxmlformats.org/officeDocument/2006/relationships/hyperlink" Target="https://www.azoai.com/news/20250316/Open-Source-AI-Beats-GPT-4-in-Diagnosing-Tough-Medical-Cases-Study-Finds.aspx" TargetMode="External"/><Relationship Id="rId12" Type="http://schemas.openxmlformats.org/officeDocument/2006/relationships/hyperlink" Target="https://thedatascientist.com/5-best-examples-of-domain-specific-llms-in-ai/" TargetMode="External"/><Relationship Id="rId13" Type="http://schemas.openxmlformats.org/officeDocument/2006/relationships/hyperlink" Target="https://www.cloudskillsboost.google/course_templates/1081/video/576978" TargetMode="External"/><Relationship Id="rId14" Type="http://schemas.openxmlformats.org/officeDocument/2006/relationships/hyperlink" Target="https://www.reuters.com/technology/meta-releases-new-ai-model-llama-4-2025-04-0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