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Insurers accelerate digital transformation with integrated claims platforms and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Insurers today confront rising customer expectations, tighter margins and a regulatory environment that rewards speed, accuracy and clear audit trails. According to the original report, a modern end-to-end claims platform is central to meeting those pressures by connecting every stage of the claim lifecycle under a single, coordinated system. Such platforms promise to reduce manual work, shorten resolution times and improve consistency of outcomes for policyholders and insurers alike. </w:t>
      </w:r>
      <w:hyperlink r:id="rId9">
        <w:r>
          <w:rPr>
            <w:color w:val="0000EE"/>
            <w:u w:val="single"/>
          </w:rPr>
          <w:t>[1]</w:t>
        </w:r>
      </w:hyperlink>
      <w:r/>
    </w:p>
    <w:p>
      <w:r/>
      <w:r>
        <w:t xml:space="preserve">Seamless integration with policy administration and customer data systems is the backbone of the modern approach. The original report emphasises that integrated data flows let agents access policy terms, claim history and customer interactions without switching platforms, reducing data errors and enabling faster verification. Vendor offerings echo this: modular core suites and API orchestration tools are marketed precisely to remove the legacy friction that produces delays and inconsistent decisioning. </w:t>
      </w:r>
      <w:hyperlink r:id="rId9">
        <w:r>
          <w:rPr>
            <w:color w:val="0000EE"/>
            <w:u w:val="single"/>
          </w:rPr>
          <w:t>[1]</w:t>
        </w:r>
      </w:hyperlink>
      <w:hyperlink r:id="rId10">
        <w:r>
          <w:rPr>
            <w:color w:val="0000EE"/>
            <w:u w:val="single"/>
          </w:rPr>
          <w:t>[3]</w:t>
        </w:r>
      </w:hyperlink>
      <w:r/>
    </w:p>
    <w:p>
      <w:r/>
      <w:r>
        <w:t xml:space="preserve">Real-time visibility into claim status is another expectation insurers should demand. The original report notes that portals and automated notifications reduce routine enquiries and build trust through transparent timelines. Industry solutions similarly promote live dashboards and push updates so customers and adjusters can see document requests, approvals and progress in real time. The company material for specialist providers highlights the same benefits for customer-service efficiency and operational monitoring. </w:t>
      </w:r>
      <w:hyperlink r:id="rId9">
        <w:r>
          <w:rPr>
            <w:color w:val="0000EE"/>
            <w:u w:val="single"/>
          </w:rPr>
          <w:t>[1]</w:t>
        </w:r>
      </w:hyperlink>
      <w:hyperlink r:id="rId11">
        <w:r>
          <w:rPr>
            <w:color w:val="0000EE"/>
            <w:u w:val="single"/>
          </w:rPr>
          <w:t>[4]</w:t>
        </w:r>
      </w:hyperlink>
      <w:hyperlink r:id="rId12">
        <w:r>
          <w:rPr>
            <w:color w:val="0000EE"/>
            <w:u w:val="single"/>
          </w:rPr>
          <w:t>[7]</w:t>
        </w:r>
      </w:hyperlink>
      <w:r/>
    </w:p>
    <w:p>
      <w:r/>
      <w:r>
        <w:t xml:space="preserve">Automation of routine, low-complexity claims is presented as a practical lever for cost reduction. The original report describes automation that captures, validates and routes simple claims, such as minor repairs or small reimbursements, so staff focus on complex adjudications. Platform vendors position rule engines, AI agents and automated adjudication flows as the mechanisms to shorten settlements and lower error rates, while maintaining auditable decision trails for compliance. </w:t>
      </w:r>
      <w:hyperlink r:id="rId9">
        <w:r>
          <w:rPr>
            <w:color w:val="0000EE"/>
            <w:u w:val="single"/>
          </w:rPr>
          <w:t>[1]</w:t>
        </w:r>
      </w:hyperlink>
      <w:hyperlink r:id="rId13">
        <w:r>
          <w:rPr>
            <w:color w:val="0000EE"/>
            <w:u w:val="single"/>
          </w:rPr>
          <w:t>[2]</w:t>
        </w:r>
      </w:hyperlink>
      <w:hyperlink r:id="rId14">
        <w:r>
          <w:rPr>
            <w:color w:val="0000EE"/>
            <w:u w:val="single"/>
          </w:rPr>
          <w:t>[5]</w:t>
        </w:r>
      </w:hyperlink>
      <w:hyperlink r:id="rId12">
        <w:r>
          <w:rPr>
            <w:color w:val="0000EE"/>
            <w:u w:val="single"/>
          </w:rPr>
          <w:t>[7]</w:t>
        </w:r>
      </w:hyperlink>
      <w:r/>
    </w:p>
    <w:p>
      <w:r/>
      <w:r>
        <w:t xml:space="preserve">Advanced fraud detection is increasingly data-driven. The original report outlines the use of analytics to spot irregular patterns and reduce false payouts; many providers add machine learning that scores risk using both internal history and external databases. Industry materials underline that these models prioritise investigations and can integrate third-party data to strengthen verification, though they typically describe outcomes as probabilistic rather than definitive. </w:t>
      </w:r>
      <w:hyperlink r:id="rId9">
        <w:r>
          <w:rPr>
            <w:color w:val="0000EE"/>
            <w:u w:val="single"/>
          </w:rPr>
          <w:t>[1]</w:t>
        </w:r>
      </w:hyperlink>
      <w:hyperlink r:id="rId13">
        <w:r>
          <w:rPr>
            <w:color w:val="0000EE"/>
            <w:u w:val="single"/>
          </w:rPr>
          <w:t>[2]</w:t>
        </w:r>
      </w:hyperlink>
      <w:hyperlink r:id="rId15">
        <w:r>
          <w:rPr>
            <w:color w:val="0000EE"/>
            <w:u w:val="single"/>
          </w:rPr>
          <w:t>[6]</w:t>
        </w:r>
      </w:hyperlink>
      <w:r/>
    </w:p>
    <w:p>
      <w:r/>
      <w:r>
        <w:t xml:space="preserve">Cloud-native, scalable infrastructure underpins most modern claims propositions. The original report argues cloud platforms let insurers scale resources during peaks and deploy updates without disrupting operations; technology vendors advance this point with microservices-based architectures, secure cloud deployments and rapid onboarding capabilities that replace slower, on-premise refresh cycles. Providers emphasise resilience, developer velocity and simplified cross‑departmental data access as business benefits, while noting security and regulatory controls remain essential. </w:t>
      </w:r>
      <w:hyperlink r:id="rId9">
        <w:r>
          <w:rPr>
            <w:color w:val="0000EE"/>
            <w:u w:val="single"/>
          </w:rPr>
          <w:t>[1]</w:t>
        </w:r>
      </w:hyperlink>
      <w:hyperlink r:id="rId14">
        <w:r>
          <w:rPr>
            <w:color w:val="0000EE"/>
            <w:u w:val="single"/>
          </w:rPr>
          <w:t>[5]</w:t>
        </w:r>
      </w:hyperlink>
      <w:r/>
    </w:p>
    <w:p>
      <w:r/>
      <w:r>
        <w:t xml:space="preserve">Taken together, these capabilities form a practical blueprint: integrated data, live transparency, targeted automation, analytics-led fraud controls and scalable cloud architecture. Industry data shows vendors are packaging these capabilities as end-to-end solutions, often integrating AI agents and data fabrics to deliver unified workflows and regulatory support, but their materials frame benefits through commercial claims rather than independent proof points. Insurers should therefore treat vendor statements as claims to be validated in pilots and through governance frameworks. </w:t>
      </w:r>
      <w:hyperlink r:id="rId9">
        <w:r>
          <w:rPr>
            <w:color w:val="0000EE"/>
            <w:u w:val="single"/>
          </w:rPr>
          <w:t>[1]</w:t>
        </w:r>
      </w:hyperlink>
      <w:hyperlink r:id="rId13">
        <w:r>
          <w:rPr>
            <w:color w:val="0000EE"/>
            <w:u w:val="single"/>
          </w:rPr>
          <w:t>[2]</w:t>
        </w:r>
      </w:hyperlink>
      <w:hyperlink r:id="rId10">
        <w:r>
          <w:rPr>
            <w:color w:val="0000EE"/>
            <w:u w:val="single"/>
          </w:rPr>
          <w:t>[3]</w:t>
        </w:r>
      </w:hyperlink>
      <w:hyperlink r:id="rId15">
        <w:r>
          <w:rPr>
            <w:color w:val="0000EE"/>
            <w:u w:val="single"/>
          </w:rPr>
          <w:t>[6]</w:t>
        </w:r>
      </w:hyperlink>
      <w:r/>
    </w:p>
    <w:p>
      <w:r/>
      <w:r>
        <w:t xml:space="preserve">Adopting a modern claims platform is not an IT exercise alone but an organisational one: the original report concludes that technology unlocks speed and control only when paired with process redesign, clear metrics and governance. Insurers that combine careful vendor selection, pilot validation and operational change are best placed to improve customer experience, control costs and preserve compliance as claim volumes and complexity evolve.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(TechBullion) - Paragraph 1, Paragraph 2, Paragraph 3, Paragraph 4, Paragraph 5, Paragraph 6, Paragraph 7, Paragraph 8 </w:t>
      </w:r>
      <w:r/>
    </w:p>
    <w:p>
      <w:pPr>
        <w:pStyle w:val="ListBullet"/>
        <w:spacing w:line="240" w:lineRule="auto"/>
        <w:ind w:left="720"/>
      </w:pPr>
      <w:r/>
      <w:hyperlink r:id="rId13">
        <w:r>
          <w:rPr>
            <w:color w:val="0000EE"/>
            <w:u w:val="single"/>
          </w:rPr>
          <w:t>[2]</w:t>
        </w:r>
      </w:hyperlink>
      <w:r>
        <w:t xml:space="preserve"> (Appian press release) - Paragraph 4, Paragraph 5, Paragraph 7 </w:t>
      </w:r>
      <w:r/>
    </w:p>
    <w:p>
      <w:pPr>
        <w:pStyle w:val="ListBullet"/>
        <w:spacing w:line="240" w:lineRule="auto"/>
        <w:ind w:left="720"/>
      </w:pPr>
      <w:r/>
      <w:hyperlink r:id="rId10">
        <w:r>
          <w:rPr>
            <w:color w:val="0000EE"/>
            <w:u w:val="single"/>
          </w:rPr>
          <w:t>[3]</w:t>
        </w:r>
      </w:hyperlink>
      <w:r>
        <w:t xml:space="preserve"> (Sapiens) - Paragraph 2, Paragraph 7 </w:t>
      </w:r>
      <w:r/>
    </w:p>
    <w:p>
      <w:pPr>
        <w:pStyle w:val="ListBullet"/>
        <w:spacing w:line="240" w:lineRule="auto"/>
        <w:ind w:left="720"/>
      </w:pPr>
      <w:r/>
      <w:hyperlink r:id="rId11">
        <w:r>
          <w:rPr>
            <w:color w:val="0000EE"/>
            <w:u w:val="single"/>
          </w:rPr>
          <w:t>[4]</w:t>
        </w:r>
      </w:hyperlink>
      <w:r>
        <w:t xml:space="preserve"> (DentalXChange) - Paragraph 3 </w:t>
      </w:r>
      <w:r/>
    </w:p>
    <w:p>
      <w:pPr>
        <w:pStyle w:val="ListBullet"/>
        <w:spacing w:line="240" w:lineRule="auto"/>
        <w:ind w:left="720"/>
      </w:pPr>
      <w:r/>
      <w:hyperlink r:id="rId14">
        <w:r>
          <w:rPr>
            <w:color w:val="0000EE"/>
            <w:u w:val="single"/>
          </w:rPr>
          <w:t>[5]</w:t>
        </w:r>
      </w:hyperlink>
      <w:r>
        <w:t xml:space="preserve"> (Ditstek Innovations) - Paragraph 4, Paragraph 6 </w:t>
      </w:r>
      <w:r/>
    </w:p>
    <w:p>
      <w:pPr>
        <w:pStyle w:val="ListBullet"/>
        <w:spacing w:line="240" w:lineRule="auto"/>
        <w:ind w:left="720"/>
      </w:pPr>
      <w:r/>
      <w:hyperlink r:id="rId15">
        <w:r>
          <w:rPr>
            <w:color w:val="0000EE"/>
            <w:u w:val="single"/>
          </w:rPr>
          <w:t>[6]</w:t>
        </w:r>
      </w:hyperlink>
      <w:r>
        <w:t xml:space="preserve"> (SAP Fioneer) - Paragraph 5, Paragraph 7 </w:t>
      </w:r>
      <w:r/>
    </w:p>
    <w:p>
      <w:pPr>
        <w:pStyle w:val="ListBullet"/>
        <w:spacing w:line="240" w:lineRule="auto"/>
        <w:ind w:left="720"/>
      </w:pPr>
      <w:r/>
      <w:hyperlink r:id="rId12">
        <w:r>
          <w:rPr>
            <w:color w:val="0000EE"/>
            <w:u w:val="single"/>
          </w:rPr>
          <w:t>[7]</w:t>
        </w:r>
      </w:hyperlink>
      <w:r>
        <w:t xml:space="preserve"> (Qover) - Paragraph 3,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https://techbullion.com/5-things-insurers-should-expect-from-a-modern-end-to-end-claims-platform/</w:t>
        </w:r>
      </w:hyperlink>
      <w:r>
        <w:t xml:space="preserve"> - Please view link - unable to able to access data</w:t>
      </w:r>
      <w:r/>
    </w:p>
    <w:p>
      <w:pPr>
        <w:pStyle w:val="ListNumber"/>
        <w:spacing w:line="240" w:lineRule="auto"/>
        <w:ind w:left="720"/>
      </w:pPr>
      <w:r/>
      <w:hyperlink r:id="rId13">
        <w:r>
          <w:rPr>
            <w:color w:val="0000EE"/>
            <w:u w:val="single"/>
          </w:rPr>
          <w:t>https://appian.com/about/explore/press-releases/2025/appian-connected-claims-2-0-empowers-insurers-and-brokers-to-del</w:t>
        </w:r>
      </w:hyperlink>
      <w:r>
        <w:t xml:space="preserve"> - Appian's Connected Claims 2.0 is an AI-powered solution that offers a unified claims workflow, integrating policy and customer data systems to streamline processes and enhance accuracy. It leverages AI agents and data fabric to provide real-time data access and automated regulatory compliance management, enabling insurers to manage every stage of the claims process with greater speed and visibility.</w:t>
      </w:r>
      <w:r/>
    </w:p>
    <w:p>
      <w:pPr>
        <w:pStyle w:val="ListNumber"/>
        <w:spacing w:line="240" w:lineRule="auto"/>
        <w:ind w:left="720"/>
      </w:pPr>
      <w:r/>
      <w:hyperlink r:id="rId10">
        <w:r>
          <w:rPr>
            <w:color w:val="0000EE"/>
            <w:u w:val="single"/>
          </w:rPr>
          <w:t>https://sapiens.com/products/iditsuite-for-property-and-casualty-insurers/</w:t>
        </w:r>
      </w:hyperlink>
      <w:r>
        <w:t xml:space="preserve"> - Sapiens IDITSuite is a comprehensive, modular core software suite designed for property and casualty insurers. It supports the full lifecycle of insurance operations, including policy administration, claims, billing, and customer engagement across personal, commercial, and specialty lines. The suite features an open insurance architecture, supported by Sapiens’ API Conductor (ACE), allowing for smooth integration, orchestration, and management of APIs, thereby reducing manual work and data errors.</w:t>
      </w:r>
      <w:r/>
    </w:p>
    <w:p>
      <w:pPr>
        <w:pStyle w:val="ListNumber"/>
        <w:spacing w:line="240" w:lineRule="auto"/>
        <w:ind w:left="720"/>
      </w:pPr>
      <w:r/>
      <w:hyperlink r:id="rId11">
        <w:r>
          <w:rPr>
            <w:color w:val="0000EE"/>
            <w:u w:val="single"/>
          </w:rPr>
          <w:t>https://www.dentalxchange.com/product/claim-status</w:t>
        </w:r>
      </w:hyperlink>
      <w:r>
        <w:t xml:space="preserve"> - DentalXChange's Claim Status feature provides real-time updates on claim progress, document requests, and approvals through digital portals. This transparency reduces confusion and builds trust between insurers and policyholders, allowing customer service teams to focus on more complex issues instead of answering basic update inquiries. Automated notifications and dashboards also reduce manual effort and help track performance across different claim types.</w:t>
      </w:r>
      <w:r/>
    </w:p>
    <w:p>
      <w:pPr>
        <w:pStyle w:val="ListNumber"/>
        <w:spacing w:line="240" w:lineRule="auto"/>
        <w:ind w:left="720"/>
      </w:pPr>
      <w:r/>
      <w:hyperlink r:id="rId14">
        <w:r>
          <w:rPr>
            <w:color w:val="0000EE"/>
            <w:u w:val="single"/>
          </w:rPr>
          <w:t>https://www.ditstek.com/portfolio/cloud-healthcare-claims-automation-platform</w:t>
        </w:r>
      </w:hyperlink>
      <w:r>
        <w:t xml:space="preserve"> - Ditstek Innovations developed a cloud-based healthcare claims automation platform tailored for third-party administrators, insurers, and Medicare Advantage plans. The platform replaces legacy infrastructures with a robust, real-time solution that enables rapid payer onboarding, automated claims adjudication, integrated billing, and 24/7 data visibility. Built with modern microservices and secure cloud infrastructure, the system seamlessly connects with clearinghouses, banking systems, and provider portals, enhancing scalability and flexibility.</w:t>
      </w:r>
      <w:r/>
    </w:p>
    <w:p>
      <w:pPr>
        <w:pStyle w:val="ListNumber"/>
        <w:spacing w:line="240" w:lineRule="auto"/>
        <w:ind w:left="720"/>
      </w:pPr>
      <w:r/>
      <w:hyperlink r:id="rId15">
        <w:r>
          <w:rPr>
            <w:color w:val="0000EE"/>
            <w:u w:val="single"/>
          </w:rPr>
          <w:t>https://www.sapfioneer.com/insurance/claims-management/</w:t>
        </w:r>
      </w:hyperlink>
      <w:r>
        <w:t xml:space="preserve"> - SAP Fioneer's Claims Management solution, based on SAP S/4HANA, helps insurers deliver customer claims experience and operational efficiency by streamlining complex workflows and enforcing strong controls. It offers end-to-end flexibility, AI-driven precision at scale, open ecosystem integration, and a customer-centric experience, enabling insurers to manage every stage of the claims process with greater speed, accuracy, and visibility.</w:t>
      </w:r>
      <w:r/>
    </w:p>
    <w:p>
      <w:pPr>
        <w:pStyle w:val="ListNumber"/>
        <w:spacing w:line="240" w:lineRule="auto"/>
        <w:ind w:left="720"/>
      </w:pPr>
      <w:r/>
      <w:hyperlink r:id="rId12">
        <w:r>
          <w:rPr>
            <w:color w:val="0000EE"/>
            <w:u w:val="single"/>
          </w:rPr>
          <w:t>https://www.qover.com/digital-insurance-claims</w:t>
        </w:r>
      </w:hyperlink>
      <w:r>
        <w:t xml:space="preserve"> - Qover's digital claims management solution offers an end-to-end insurance claims process that can be seamlessly integrated into user journeys. It leverages AI and automation at key stages of the claims process, with continuous monitoring by live agents, to speed up payouts and enhance the user experience. The solution provides instant status updates, 24/7 support in multiple languages, and a dynamic claims dashboard with transparent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bullion.com/5-things-insurers-should-expect-from-a-modern-end-to-end-claims-platform/" TargetMode="External"/><Relationship Id="rId10" Type="http://schemas.openxmlformats.org/officeDocument/2006/relationships/hyperlink" Target="https://sapiens.com/products/iditsuite-for-property-and-casualty-insurers/" TargetMode="External"/><Relationship Id="rId11" Type="http://schemas.openxmlformats.org/officeDocument/2006/relationships/hyperlink" Target="https://www.dentalxchange.com/product/claim-status" TargetMode="External"/><Relationship Id="rId12" Type="http://schemas.openxmlformats.org/officeDocument/2006/relationships/hyperlink" Target="https://www.qover.com/digital-insurance-claims" TargetMode="External"/><Relationship Id="rId13" Type="http://schemas.openxmlformats.org/officeDocument/2006/relationships/hyperlink" Target="https://appian.com/about/explore/press-releases/2025/appian-connected-claims-2-0-empowers-insurers-and-brokers-to-del" TargetMode="External"/><Relationship Id="rId14" Type="http://schemas.openxmlformats.org/officeDocument/2006/relationships/hyperlink" Target="https://www.ditstek.com/portfolio/cloud-healthcare-claims-automation-platform" TargetMode="External"/><Relationship Id="rId15" Type="http://schemas.openxmlformats.org/officeDocument/2006/relationships/hyperlink" Target="https://www.sapfioneer.com/insurance/claims-manage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