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insurance industry poised for transformative tech-driven shift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life insurance industry expects 2026 to be a year of accelerated technological adoption, product re‑engineering and renewed emphasis on lifetime value, as carriers balance faster, data‑driven processes with demands for transparency and consumer engagement. According to the original report, industry leaders foresee a continued expansion of accelerated underwriting programs and broader use of AI and digital platforms to streamline applications and enhance risk assessment. </w:t>
      </w:r>
      <w:hyperlink r:id="rId9">
        <w:r>
          <w:rPr>
            <w:color w:val="0000EE"/>
            <w:u w:val="single"/>
          </w:rPr>
          <w:t>[1]</w:t>
        </w:r>
      </w:hyperlink>
      <w:r/>
    </w:p>
    <w:p>
      <w:r/>
      <w:r>
        <w:t xml:space="preserve">Several executives said accelerated underwriting (AUW), once limited to smaller face amounts, will scale to higher limits , in some cases up to $5 million , reducing reliance on traditional medical exams and shortening time to issue. Industry data shows insurtech funding and AI integration are supporting these shifts, with carriers deploying automation and predictive analytics to improve speed and pricing accuracy.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Insurers also expect underwriting to become more holistic, combining medical, behavioural and digital health signals. Experts noted increasing use of electronic health records, wearable activity data and other longitudinal indicators to refine risk segmentation and expand insurability for underserved markets. The company said in a statement that wearables and digital health will offer predictive value beyond traditional vitals, while large language models will unlock insights from unstructured records and speed case review , though firms must invest in governance to ensure transparency and fairness. </w:t>
      </w:r>
      <w:hyperlink r:id="rId9">
        <w:r>
          <w:rPr>
            <w:color w:val="0000EE"/>
            <w:u w:val="single"/>
          </w:rPr>
          <w:t>[1]</w:t>
        </w:r>
      </w:hyperlink>
      <w:hyperlink r:id="rId12">
        <w:r>
          <w:rPr>
            <w:color w:val="0000EE"/>
            <w:u w:val="single"/>
          </w:rPr>
          <w:t>[6]</w:t>
        </w:r>
      </w:hyperlink>
      <w:r/>
    </w:p>
    <w:p>
      <w:r/>
      <w:r>
        <w:t xml:space="preserve">Artificial intelligence and generative AI are moving from pilots to production in areas such as underwriting support, advisor enablement and the policy ownership experience. According to the original report, executives see LLMs reducing manual review time, flagging inconsistencies in APSs and financial records, and enabling more consistent decisioning , but they caution that robust oversight and model governance will be essential. </w:t>
      </w:r>
      <w:hyperlink r:id="rId9">
        <w:r>
          <w:rPr>
            <w:color w:val="0000EE"/>
            <w:u w:val="single"/>
          </w:rPr>
          <w:t>[1]</w:t>
        </w:r>
      </w:hyperlink>
      <w:hyperlink r:id="rId11">
        <w:r>
          <w:rPr>
            <w:color w:val="0000EE"/>
            <w:u w:val="single"/>
          </w:rPr>
          <w:t>[5]</w:t>
        </w:r>
      </w:hyperlink>
      <w:r/>
    </w:p>
    <w:p>
      <w:r/>
      <w:r>
        <w:t xml:space="preserve">Product and distribution shifts will follow. Several analysts expect a rising share of embedded, usage‑based and variable products alongside continued demand for guaranteed, retirement‑related solutions as large cohorts approach retirement. Government and market data cited in broader industry coverage point to premium growth supported by higher interest rates and resilient capital positions, though ratings agencies highlight macroeconomic volatility and exposure risks such as private credit. </w:t>
      </w:r>
      <w:hyperlink r:id="rId9">
        <w:r>
          <w:rPr>
            <w:color w:val="0000EE"/>
            <w:u w:val="single"/>
          </w:rPr>
          <w:t>[1]</w:t>
        </w:r>
      </w:hyperlink>
      <w:hyperlink r:id="rId13">
        <w:r>
          <w:rPr>
            <w:color w:val="0000EE"/>
            <w:u w:val="single"/>
          </w:rPr>
          <w:t>[3]</w:t>
        </w:r>
      </w:hyperlink>
      <w:hyperlink r:id="rId14">
        <w:r>
          <w:rPr>
            <w:color w:val="0000EE"/>
            <w:u w:val="single"/>
          </w:rPr>
          <w:t>[4]</w:t>
        </w:r>
      </w:hyperlink>
      <w:hyperlink r:id="rId15">
        <w:r>
          <w:rPr>
            <w:color w:val="0000EE"/>
            <w:u w:val="single"/>
          </w:rPr>
          <w:t>[7]</w:t>
        </w:r>
      </w:hyperlink>
      <w:r/>
    </w:p>
    <w:p>
      <w:r/>
      <w:r>
        <w:t xml:space="preserve">Beyond technology and product design, executives emphasised that insurers must strengthen emotional connections and long‑term value messaging to close the persistent protection gap. The company said longevity preparedness will become central in 2026: research released in 2025 showed widespread underpreparedness across domains such as care, housing and finance, presenting opportunities for offerings that help customers plan for longer lives. Industry groups also flagged public policy roles in expanding access to long‑term guarantees that support retirement security. </w:t>
      </w:r>
      <w:hyperlink r:id="rId9">
        <w:r>
          <w:rPr>
            <w:color w:val="0000EE"/>
            <w:u w:val="single"/>
          </w:rPr>
          <w:t>[1]</w:t>
        </w:r>
      </w:hyperlink>
      <w:r/>
    </w:p>
    <w:p>
      <w:r/>
      <w:r>
        <w:t xml:space="preserve">Market forecasts and macro context are broadly positive but nuanced. Global premium projections and insurer commentary point to mid‑single‑digit growth in coming years supported by higher yields and improving financing conditions, according to institutional reports, while other forecasts show more modest advances; insurers with legacy books may pursue reinsurance or divestiture strategies to manage balance‑sheet risk. Credit‑quality, asset‑liability management and regulatory oversight will influence how much of the promised transformation translates into broader market share gains. </w:t>
      </w:r>
      <w:hyperlink r:id="rId14">
        <w:r>
          <w:rPr>
            <w:color w:val="0000EE"/>
            <w:u w:val="single"/>
          </w:rPr>
          <w:t>[4]</w:t>
        </w:r>
      </w:hyperlink>
      <w:hyperlink r:id="rId12">
        <w:r>
          <w:rPr>
            <w:color w:val="0000EE"/>
            <w:u w:val="single"/>
          </w:rPr>
          <w:t>[6]</w:t>
        </w:r>
      </w:hyperlink>
      <w:hyperlink r:id="rId10">
        <w:r>
          <w:rPr>
            <w:color w:val="0000EE"/>
            <w:u w:val="single"/>
          </w:rPr>
          <w:t>[2]</w:t>
        </w:r>
      </w:hyperlink>
      <w:hyperlink r:id="rId15">
        <w:r>
          <w:rPr>
            <w:color w:val="0000EE"/>
            <w:u w:val="single"/>
          </w:rPr>
          <w:t>[7]</w:t>
        </w:r>
      </w:hyperlink>
      <w:r/>
    </w:p>
    <w:p>
      <w:r/>
      <w:r>
        <w:t xml:space="preserve">Taken together, the industry narrative for 2026 pairs technological acceleration with a renewed focus on the “life” in life insurance: faster, data‑driven underwriting and personalised products combined with engagement strategies aimed at improving longevity preparedness and closing coverage gaps. Executives say the winning firms will be those that couple digital capabilities with trusted distribution, disciplined governance and clear consumer value propositions. </w:t>
      </w:r>
      <w:hyperlink r:id="rId9">
        <w:r>
          <w:rPr>
            <w:color w:val="0000EE"/>
            <w:u w:val="single"/>
          </w:rPr>
          <w:t>[1]</w:t>
        </w:r>
      </w:hyperlink>
      <w:hyperlink r:id="rId13">
        <w:r>
          <w:rPr>
            <w:color w:val="0000EE"/>
            <w:u w:val="single"/>
          </w:rPr>
          <w:t>[3]</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(Digital Insurance) - Paragraph 1, Paragraph 2, Paragraph 3, Paragraph 4, Paragraph 6, Paragraph 8 </w:t>
      </w:r>
      <w:r/>
    </w:p>
    <w:p>
      <w:pPr>
        <w:pStyle w:val="ListBullet"/>
        <w:spacing w:line="240" w:lineRule="auto"/>
        <w:ind w:left="720"/>
      </w:pPr>
      <w:r/>
      <w:hyperlink r:id="rId10">
        <w:r>
          <w:rPr>
            <w:color w:val="0000EE"/>
            <w:u w:val="single"/>
          </w:rPr>
          <w:t>[2]</w:t>
        </w:r>
      </w:hyperlink>
      <w:r>
        <w:t xml:space="preserve"> (GlobeNewswire / Astute Analytica) - Paragraph 2, Paragraph 7 </w:t>
      </w:r>
      <w:r/>
    </w:p>
    <w:p>
      <w:pPr>
        <w:pStyle w:val="ListBullet"/>
        <w:spacing w:line="240" w:lineRule="auto"/>
        <w:ind w:left="720"/>
      </w:pPr>
      <w:r/>
      <w:hyperlink r:id="rId13">
        <w:r>
          <w:rPr>
            <w:color w:val="0000EE"/>
            <w:u w:val="single"/>
          </w:rPr>
          <w:t>[3]</w:t>
        </w:r>
      </w:hyperlink>
      <w:r>
        <w:t xml:space="preserve"> (Digital Insurance opinion) - Paragraph 5, Paragraph 8 </w:t>
      </w:r>
      <w:r/>
    </w:p>
    <w:p>
      <w:pPr>
        <w:pStyle w:val="ListBullet"/>
        <w:spacing w:line="240" w:lineRule="auto"/>
        <w:ind w:left="720"/>
      </w:pPr>
      <w:r/>
      <w:hyperlink r:id="rId14">
        <w:r>
          <w:rPr>
            <w:color w:val="0000EE"/>
            <w:u w:val="single"/>
          </w:rPr>
          <w:t>[4]</w:t>
        </w:r>
      </w:hyperlink>
      <w:r>
        <w:t xml:space="preserve"> (MAPFRE Economics) - Paragraph 7 </w:t>
      </w:r>
      <w:r/>
    </w:p>
    <w:p>
      <w:pPr>
        <w:pStyle w:val="ListBullet"/>
        <w:spacing w:line="240" w:lineRule="auto"/>
        <w:ind w:left="720"/>
      </w:pPr>
      <w:r/>
      <w:hyperlink r:id="rId11">
        <w:r>
          <w:rPr>
            <w:color w:val="0000EE"/>
            <w:u w:val="single"/>
          </w:rPr>
          <w:t>[5]</w:t>
        </w:r>
      </w:hyperlink>
      <w:r>
        <w:t xml:space="preserve"> (Plunkett Research) - Paragraph 2, Paragraph 4, Paragraph 8 </w:t>
      </w:r>
      <w:r/>
    </w:p>
    <w:p>
      <w:pPr>
        <w:pStyle w:val="ListBullet"/>
        <w:spacing w:line="240" w:lineRule="auto"/>
        <w:ind w:left="720"/>
      </w:pPr>
      <w:r/>
      <w:hyperlink r:id="rId12">
        <w:r>
          <w:rPr>
            <w:color w:val="0000EE"/>
            <w:u w:val="single"/>
          </w:rPr>
          <w:t>[6]</w:t>
        </w:r>
      </w:hyperlink>
      <w:r>
        <w:t xml:space="preserve"> (Swiss Re Institute) - Paragraph 3, Paragraph 7 </w:t>
      </w:r>
      <w:r/>
    </w:p>
    <w:p>
      <w:pPr>
        <w:pStyle w:val="ListBullet"/>
        <w:spacing w:line="240" w:lineRule="auto"/>
        <w:ind w:left="720"/>
      </w:pPr>
      <w:r/>
      <w:hyperlink r:id="rId15">
        <w:r>
          <w:rPr>
            <w:color w:val="0000EE"/>
            <w:u w:val="single"/>
          </w:rPr>
          <w:t>[7]</w:t>
        </w:r>
      </w:hyperlink>
      <w:r>
        <w:t xml:space="preserve"> (ReinsuranceNews / Fitch summary) - Paragraph 5,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https://www.dig-in.com/news/life-insurance-predictions-for-2026</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https://www.globenewswire.com/news-release/2025/11/24/3193391/0/en/Life-Insurance-Market-Size-is-Estimated-to-Surpass-US-16-53-Trillion-by-2033-Astute-Analytica.html</w:t>
        </w:r>
      </w:hyperlink>
      <w:r>
        <w:t xml:space="preserve"> - This article discusses the projected growth of the global life insurance market, estimating it will surpass US$16.53 trillion by 2033. It highlights the surge in insurtech funding, particularly in artificial intelligence, and the expansion of accelerated underwriting programs, which now approve face amounts up to $5 million without traditional medical exams. The piece also notes the increasing integration of AI in underwriting processes, leading to unprecedented efficiency gains and improved risk assessment accuracy.</w:t>
      </w:r>
      <w:r/>
    </w:p>
    <w:p>
      <w:pPr>
        <w:pStyle w:val="ListNumber"/>
        <w:spacing w:line="240" w:lineRule="auto"/>
        <w:ind w:left="720"/>
      </w:pPr>
      <w:r/>
      <w:hyperlink r:id="rId13">
        <w:r>
          <w:rPr>
            <w:color w:val="0000EE"/>
            <w:u w:val="single"/>
          </w:rPr>
          <w:t>https://www.dig-in.com/opinion/7-trends-shaping-the-future-of-insurance</w:t>
        </w:r>
      </w:hyperlink>
      <w:r>
        <w:t xml:space="preserve"> - This article outlines seven key trends shaping the future of the insurance industry by 2026. It emphasizes the rise of embedded insurance, where products are integrated into digital customer journeys, and the growth of usage-based and parametric insurance products. The piece also highlights the widespread adoption of AI in claims and underwriting processes, the importance of cyber risk management, the focus on regulation and digital ethics, and the need for insurers to blend human expertise with digital capabilities to drive transformation.</w:t>
      </w:r>
      <w:r/>
    </w:p>
    <w:p>
      <w:pPr>
        <w:pStyle w:val="ListNumber"/>
        <w:spacing w:line="240" w:lineRule="auto"/>
        <w:ind w:left="720"/>
      </w:pPr>
      <w:r/>
      <w:hyperlink r:id="rId14">
        <w:r>
          <w:rPr>
            <w:color w:val="0000EE"/>
            <w:u w:val="single"/>
          </w:rPr>
          <w:t>https://www.mapfre.com/en/insights/insurance/life-insurance-premiums/</w:t>
        </w:r>
      </w:hyperlink>
      <w:r>
        <w:t xml:space="preserve"> - This report from MAPFRE Economics projects strong performance for the insurance industry in 2025 and 2026, supported by a resilient economic backdrop and improved financing conditions. It forecasts global life insurance premiums to increase by 6.2% in 2025 and 6.5% in 2026. The report attributes this growth to factors such as higher interest rates, which support savings-linked life insurance and investment products, and strong equity market performance.</w:t>
      </w:r>
      <w:r/>
    </w:p>
    <w:p>
      <w:pPr>
        <w:pStyle w:val="ListNumber"/>
        <w:spacing w:line="240" w:lineRule="auto"/>
        <w:ind w:left="720"/>
      </w:pPr>
      <w:r/>
      <w:hyperlink r:id="rId11">
        <w:r>
          <w:rPr>
            <w:color w:val="0000EE"/>
            <w:u w:val="single"/>
          </w:rPr>
          <w:t>https://www.plunkettresearch.com/10-major-trends-and-technologies-shaping-the-insurance-industry-insights-for-investors-consultants-and-marketing-professionals-in-2025-and-2026/</w:t>
        </w:r>
      </w:hyperlink>
      <w:r>
        <w:t xml:space="preserve"> - This article discusses ten major trends and technologies shaping the insurance industry by 2026. It focuses on the transformative impact of artificial intelligence and big data on underwriting processes, including the use of machine learning for risk assessment, fraud detection, and claims processing. The piece also highlights the integration of wellness programs into insurance policies, the adoption of usage-based and parametric insurance products, and the importance of sustainability and ESG factors in insurance strategies.</w:t>
      </w:r>
      <w:r/>
    </w:p>
    <w:p>
      <w:pPr>
        <w:pStyle w:val="ListNumber"/>
        <w:spacing w:line="240" w:lineRule="auto"/>
        <w:ind w:left="720"/>
      </w:pPr>
      <w:r/>
      <w:hyperlink r:id="rId12">
        <w:r>
          <w:rPr>
            <w:color w:val="0000EE"/>
            <w:u w:val="single"/>
          </w:rPr>
          <w:t>https://www.swissre.com/press-release/Life-insurance-drives-global-premium-growth-as-interest-rates-remain-higher-for-longer-says-Swiss-Re-Institute/0d31084f-7790-48cf-bd8a-8f4e73e57bc6</w:t>
        </w:r>
      </w:hyperlink>
      <w:r>
        <w:t xml:space="preserve"> - This press release from Swiss Re Institute forecasts global life insurance premiums to grow at an annual rate of 3% in 2025 and 2026, more than doubling the rate of the past ten years. The growth is attributed to factors such as elevated interest rates, particularly in the US, which support insurers' profitability, and demographic shifts like aging populations and a growing middle class in emerging markets.</w:t>
      </w:r>
      <w:r/>
    </w:p>
    <w:p>
      <w:pPr>
        <w:pStyle w:val="ListNumber"/>
        <w:spacing w:line="240" w:lineRule="auto"/>
        <w:ind w:left="720"/>
      </w:pPr>
      <w:r/>
      <w:hyperlink r:id="rId15">
        <w:r>
          <w:rPr>
            <w:color w:val="0000EE"/>
            <w:u w:val="single"/>
          </w:rPr>
          <w:t>https://www.reinsurancene.ws/north-america-life-insurance-sector-outlook-remains-neutral-for-2026-fitch/</w:t>
        </w:r>
      </w:hyperlink>
      <w:r>
        <w:t xml:space="preserve"> - This article reports on Fitch Ratings' neutral outlook for the North American life insurance sector in 2026. Despite challenges such as heightened macroeconomic volatility and geopolitical uncertainty, Fitch expects life insurers to maintain strong capitalisation, prudent asset-liability management, and solid liquidity. The article also notes concerns over increased exposure to private credit but highlights the industry's emphasis on investment-grade bonds.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n.com/news/life-insurance-predictions-for-2026" TargetMode="External"/><Relationship Id="rId10" Type="http://schemas.openxmlformats.org/officeDocument/2006/relationships/hyperlink" Target="https://www.globenewswire.com/news-release/2025/11/24/3193391/0/en/Life-Insurance-Market-Size-is-Estimated-to-Surpass-US-16-53-Trillion-by-2033-Astute-Analytica.html" TargetMode="External"/><Relationship Id="rId11" Type="http://schemas.openxmlformats.org/officeDocument/2006/relationships/hyperlink" Target="https://www.plunkettresearch.com/10-major-trends-and-technologies-shaping-the-insurance-industry-insights-for-investors-consultants-and-marketing-professionals-in-2025-and-2026/" TargetMode="External"/><Relationship Id="rId12" Type="http://schemas.openxmlformats.org/officeDocument/2006/relationships/hyperlink" Target="https://www.swissre.com/press-release/Life-insurance-drives-global-premium-growth-as-interest-rates-remain-higher-for-longer-says-Swiss-Re-Institute/0d31084f-7790-48cf-bd8a-8f4e73e57bc6" TargetMode="External"/><Relationship Id="rId13" Type="http://schemas.openxmlformats.org/officeDocument/2006/relationships/hyperlink" Target="https://www.dig-in.com/opinion/7-trends-shaping-the-future-of-insurance" TargetMode="External"/><Relationship Id="rId14" Type="http://schemas.openxmlformats.org/officeDocument/2006/relationships/hyperlink" Target="https://www.mapfre.com/en/insights/insurance/life-insurance-premiums/" TargetMode="External"/><Relationship Id="rId15" Type="http://schemas.openxmlformats.org/officeDocument/2006/relationships/hyperlink" Target="https://www.reinsurancene.ws/north-america-life-insurance-sector-outlook-remains-neutral-for-2026-fit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