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PRA updates climate risk expectations to drive proportionality and strategic use of scenario analysis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The Prudential Regulation Authority (PRA) on 3 December 2025 published Policy Statement 25/25 (PS25/25), setting out finalised expectations for how banks and insurers should manage climate-related risks and updating its prior supervisory guidance. According to the original report accompanying the statement, the PRA has issued a new Supervisory Statement , described in PRA material as SS4/25 , that replaces the earlier SS3/19 and consolidates feedback received to Consultation Paper 10/25 (CP10/25). The Bank of England’s prudential regulation pages summarise the package as reinforcing governance, risk management, climate scenario analysis, data quality and disclosure expectations. </w:t>
      </w:r>
      <w:hyperlink r:id="rId9">
        <w:r>
          <w:rPr>
            <w:color w:val="0000EE"/>
            <w:u w:val="single"/>
          </w:rPr>
          <w:t>[1]</w:t>
        </w:r>
      </w:hyperlink>
      <w:hyperlink r:id="rId10">
        <w:r>
          <w:rPr>
            <w:color w:val="0000EE"/>
            <w:u w:val="single"/>
          </w:rPr>
          <w:t>[2]</w:t>
        </w:r>
      </w:hyperlink>
      <w:r/>
    </w:p>
    <w:p>
      <w:r/>
      <w:r>
        <w:t xml:space="preserve">The PRA said respondents to CP10/25 were broadly supportive but that the final policy has been changed in a number of respects to improve clarity and proportionality. Key themes in the updated supervisory expectations include stronger board and senior management engagement on climate oversight, explicit requirements that firms integrate climate considerations across risk types, and a greater focus on ensuring scenario analysis informs business decisions rather than remaining an exercise in compliance. The PRA also emphasised decision-useful disclosures aligned with evolving international standards. </w:t>
      </w:r>
      <w:hyperlink r:id="rId9">
        <w:r>
          <w:rPr>
            <w:color w:val="0000EE"/>
            <w:u w:val="single"/>
          </w:rPr>
          <w:t>[1]</w:t>
        </w:r>
      </w:hyperlink>
      <w:hyperlink r:id="rId10">
        <w:r>
          <w:rPr>
            <w:color w:val="0000EE"/>
            <w:u w:val="single"/>
          </w:rPr>
          <w:t>[2]</w:t>
        </w:r>
      </w:hyperlink>
      <w:hyperlink r:id="rId11">
        <w:r>
          <w:rPr>
            <w:color w:val="0000EE"/>
            <w:u w:val="single"/>
          </w:rPr>
          <w:t>[5]</w:t>
        </w:r>
      </w:hyperlink>
      <w:r/>
    </w:p>
    <w:p>
      <w:r/>
      <w:r>
        <w:t xml:space="preserve">A central strand of the final policy is proportionality: the PRA added an ‘Overarching aims’ section to explain how firms should calibrate the expectations to their size, complexity and exposure to material climate-related risks, and it points to the Climate Financial Risk Forum (CFRF) as a source of supporting guidance and case studies. The PRA clarified that the six-month period following publication is a review window for firms to assess gaps and develop credible action plans , not an immediate implementation deadline , and that supervisors will not request evidence of firms’ internal reviews until at least after that period. Some external commentators, including academic analysts, have urged more explicit timing and harmonised long-term scenario requirements for capital planning. </w:t>
      </w:r>
      <w:hyperlink r:id="rId9">
        <w:r>
          <w:rPr>
            <w:color w:val="0000EE"/>
            <w:u w:val="single"/>
          </w:rPr>
          <w:t>[1]</w:t>
        </w:r>
      </w:hyperlink>
      <w:hyperlink r:id="rId12">
        <w:r>
          <w:rPr>
            <w:color w:val="0000EE"/>
            <w:u w:val="single"/>
          </w:rPr>
          <w:t>[6]</w:t>
        </w:r>
      </w:hyperlink>
      <w:hyperlink r:id="rId13">
        <w:r>
          <w:rPr>
            <w:color w:val="0000EE"/>
            <w:u w:val="single"/>
          </w:rPr>
          <w:t>[3]</w:t>
        </w:r>
      </w:hyperlink>
      <w:r/>
    </w:p>
    <w:p>
      <w:r/>
      <w:r>
        <w:t xml:space="preserve">The PRA has refined its treatment of specific risk areas following industry feedback. It will allow firms to integrate climate responsibilities within existing governance and risk frameworks where that preserves robust identification and oversight, and it accepts firms may use existing risk registers or supplementary sub-registers rather than mandatory new structures. The regulator has also softened certain data expectations: firms are required to “understand” data uncertainty rather than to “quantify” it, and they need not default to conservative proxies where models are immature, although they must remain clear about limitations. Industry bodies pushing for integration of climate work into established processes welcomed these flexibilities while warning against overly prescriptive climate-specific rules. </w:t>
      </w:r>
      <w:hyperlink r:id="rId9">
        <w:r>
          <w:rPr>
            <w:color w:val="0000EE"/>
            <w:u w:val="single"/>
          </w:rPr>
          <w:t>[1]</w:t>
        </w:r>
      </w:hyperlink>
      <w:hyperlink r:id="rId11">
        <w:r>
          <w:rPr>
            <w:color w:val="0000EE"/>
            <w:u w:val="single"/>
          </w:rPr>
          <w:t>[5]</w:t>
        </w:r>
      </w:hyperlink>
      <w:hyperlink r:id="rId14">
        <w:r>
          <w:rPr>
            <w:color w:val="0000EE"/>
            <w:u w:val="single"/>
          </w:rPr>
          <w:t>[7]</w:t>
        </w:r>
      </w:hyperlink>
      <w:r/>
    </w:p>
    <w:p>
      <w:r/>
      <w:r>
        <w:t xml:space="preserve">On scenario work and reverse stress testing, the PRA confirmed flexibility for firms to select scenarios suited to their risk profile and to apply proportionality to the number and type of exercises. Firms may choose whether to use reverse stress testing and/or scenario-based sensitivity analysis, and the PRA accepts that longer-term scenario work can rely more on narrative than precise quantification. Nevertheless, the regulator reiterated its expectation that scenario outputs should be used strategically to test resilience and inform business decisions; policy commentators have flagged a need for clearer guidance on scenario timescales and on including abrupt or late-transition pathways. </w:t>
      </w:r>
      <w:hyperlink r:id="rId9">
        <w:r>
          <w:rPr>
            <w:color w:val="0000EE"/>
            <w:u w:val="single"/>
          </w:rPr>
          <w:t>[1]</w:t>
        </w:r>
      </w:hyperlink>
      <w:hyperlink r:id="rId13">
        <w:r>
          <w:rPr>
            <w:color w:val="0000EE"/>
            <w:u w:val="single"/>
          </w:rPr>
          <w:t>[3]</w:t>
        </w:r>
      </w:hyperlink>
      <w:hyperlink r:id="rId12">
        <w:r>
          <w:rPr>
            <w:color w:val="0000EE"/>
            <w:u w:val="single"/>
          </w:rPr>
          <w:t>[6]</w:t>
        </w:r>
      </w:hyperlink>
      <w:r/>
    </w:p>
    <w:p>
      <w:r/>
      <w:r>
        <w:t xml:space="preserve">The PRA also addressed sector-specific points. For banks, the regulator reiterated that climate-related risks should be considered in ICAAP and ILAAP processes and acknowledged challenges in aligning climate scenario horizons with standard capital and liquidity planning timeframes. For insurers, the PRA noted existing Solvency II framework flexibilities are sufficient for reflecting climate risks and that climate drivers may be incorporated into internal models and ORSA work. The PRA advised firms may adjust regulatory balance-sheet credit assumptions where they deem market ratings insufficiently sensitive to climate risks. Legal firms and consultancies analysing the statement observed that progress since 2019 has been uneven and urged firms to accelerate capability building. </w:t>
      </w:r>
      <w:hyperlink r:id="rId9">
        <w:r>
          <w:rPr>
            <w:color w:val="0000EE"/>
            <w:u w:val="single"/>
          </w:rPr>
          <w:t>[1]</w:t>
        </w:r>
      </w:hyperlink>
      <w:hyperlink r:id="rId15">
        <w:r>
          <w:rPr>
            <w:color w:val="0000EE"/>
            <w:u w:val="single"/>
          </w:rPr>
          <w:t>[4]</w:t>
        </w:r>
      </w:hyperlink>
      <w:hyperlink r:id="rId14">
        <w:r>
          <w:rPr>
            <w:color w:val="0000EE"/>
            <w:u w:val="single"/>
          </w:rPr>
          <w:t>[7]</w:t>
        </w:r>
      </w:hyperlink>
      <w:r/>
    </w:p>
    <w:p>
      <w:r/>
      <w:r>
        <w:t xml:space="preserve">The PRA’s final policy takes effect on 3 December 2025. According to the original report, firms are expected to carry out an internal review of their position against the new expectations and prepare plans to address gaps, applying proportionality to reflect their exposure and complexity; supervisors will begin seeking evidence of those internal reviews and action plans only after the initial review period. The publication has been broadly framed as an evolutionary step that embeds established regulatory principles in the context of climate risk while seeking to balance ambition with operational and data realities. </w:t>
      </w:r>
      <w:hyperlink r:id="rId9">
        <w:r>
          <w:rPr>
            <w:color w:val="0000EE"/>
            <w:u w:val="single"/>
          </w:rPr>
          <w:t>[1]</w:t>
        </w:r>
      </w:hyperlink>
      <w:hyperlink r:id="rId10">
        <w:r>
          <w:rPr>
            <w:color w:val="0000EE"/>
            <w:u w:val="single"/>
          </w:rPr>
          <w:t>[2]</w:t>
        </w:r>
      </w:hyperlink>
      <w:hyperlink r:id="rId15">
        <w:r>
          <w:rPr>
            <w:color w:val="0000EE"/>
            <w:u w:val="single"/>
          </w:rPr>
          <w:t>[4]</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(Regulation Tomorrow / PRA PS25/25 summary) - Paragraph 1, Paragraph 2, Paragraph 3, Paragraph 4, Paragraph 5, Paragraph 6, Paragraph 7 </w:t>
      </w:r>
      <w:r/>
    </w:p>
    <w:p>
      <w:pPr>
        <w:pStyle w:val="ListBullet"/>
        <w:spacing w:line="240" w:lineRule="auto"/>
        <w:ind w:left="720"/>
      </w:pPr>
      <w:r/>
      <w:hyperlink r:id="rId10">
        <w:r>
          <w:rPr>
            <w:color w:val="0000EE"/>
            <w:u w:val="single"/>
          </w:rPr>
          <w:t>[2]</w:t>
        </w:r>
      </w:hyperlink>
      <w:r>
        <w:t xml:space="preserve"> (Bank of England / PRA policy statement page) - Paragraph 1, Paragraph 7 </w:t>
      </w:r>
      <w:r/>
    </w:p>
    <w:p>
      <w:pPr>
        <w:pStyle w:val="ListBullet"/>
        <w:spacing w:line="240" w:lineRule="auto"/>
        <w:ind w:left="720"/>
      </w:pPr>
      <w:r/>
      <w:hyperlink r:id="rId13">
        <w:r>
          <w:rPr>
            <w:color w:val="0000EE"/>
            <w:u w:val="single"/>
          </w:rPr>
          <w:t>[3]</w:t>
        </w:r>
      </w:hyperlink>
      <w:r>
        <w:t xml:space="preserve"> (Bank of England / Supervisory Statement page) - Paragraph 3, Paragraph 5 </w:t>
      </w:r>
      <w:r/>
    </w:p>
    <w:p>
      <w:pPr>
        <w:pStyle w:val="ListBullet"/>
        <w:spacing w:line="240" w:lineRule="auto"/>
        <w:ind w:left="720"/>
      </w:pPr>
      <w:r/>
      <w:hyperlink r:id="rId15">
        <w:r>
          <w:rPr>
            <w:color w:val="0000EE"/>
            <w:u w:val="single"/>
          </w:rPr>
          <w:t>[4]</w:t>
        </w:r>
      </w:hyperlink>
      <w:r>
        <w:t xml:space="preserve"> (Bryan Cave Leighton Paisner commentary) - Paragraph 6, Paragraph 7 </w:t>
      </w:r>
      <w:r/>
    </w:p>
    <w:p>
      <w:pPr>
        <w:pStyle w:val="ListBullet"/>
        <w:spacing w:line="240" w:lineRule="auto"/>
        <w:ind w:left="720"/>
      </w:pPr>
      <w:r/>
      <w:hyperlink r:id="rId11">
        <w:r>
          <w:rPr>
            <w:color w:val="0000EE"/>
            <w:u w:val="single"/>
          </w:rPr>
          <w:t>[5]</w:t>
        </w:r>
      </w:hyperlink>
      <w:r>
        <w:t xml:space="preserve"> (ISDA / IIF response) - Paragraph 2, Paragraph 4 </w:t>
      </w:r>
      <w:r/>
    </w:p>
    <w:p>
      <w:pPr>
        <w:pStyle w:val="ListBullet"/>
        <w:spacing w:line="240" w:lineRule="auto"/>
        <w:ind w:left="720"/>
      </w:pPr>
      <w:r/>
      <w:hyperlink r:id="rId12">
        <w:r>
          <w:rPr>
            <w:color w:val="0000EE"/>
            <w:u w:val="single"/>
          </w:rPr>
          <w:t>[6]</w:t>
        </w:r>
      </w:hyperlink>
      <w:r>
        <w:t xml:space="preserve"> (Grantham Research Institute analysis) - Paragraph 3, Paragraph 5 </w:t>
      </w:r>
      <w:r/>
    </w:p>
    <w:p>
      <w:pPr>
        <w:pStyle w:val="ListBullet"/>
        <w:spacing w:line="240" w:lineRule="auto"/>
        <w:ind w:left="720"/>
      </w:pPr>
      <w:r/>
      <w:hyperlink r:id="rId14">
        <w:r>
          <w:rPr>
            <w:color w:val="0000EE"/>
            <w:u w:val="single"/>
          </w:rPr>
          <w:t>[7]</w:t>
        </w:r>
      </w:hyperlink>
      <w:r>
        <w:t xml:space="preserve"> (PwC UK commentary) - Paragraph 4, Paragraph 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https://www.regulationtomorrow.com/eu/pra-ps25-25-enhancing-banks-and-insurers-approaches-to-managing-climate-related-risks-update-to-ss3-19/</w:t>
        </w:r>
      </w:hyperlink>
      <w:r>
        <w:t xml:space="preserve"> - Please view link - unable to able to access data</w:t>
      </w:r>
      <w:r/>
    </w:p>
    <w:p>
      <w:pPr>
        <w:pStyle w:val="ListNumber"/>
        <w:spacing w:line="240" w:lineRule="auto"/>
        <w:ind w:left="720"/>
      </w:pPr>
      <w:r/>
      <w:hyperlink r:id="rId10">
        <w:r>
          <w:rPr>
            <w:color w:val="0000EE"/>
            <w:u w:val="single"/>
          </w:rPr>
          <w:t>https://www.bankofengland.co.uk/prudential-regulation/publication/2025/december/enhancing-banks-and-insurers-approaches-to-managing-climate-related-risks-policy-statement</w:t>
        </w:r>
      </w:hyperlink>
      <w:r>
        <w:t xml:space="preserve"> - The Bank of England's Prudential Regulation Authority (PRA) published Policy Statement 25/25 on 3 December 2025, updating its expectations for banks and insurers in managing climate-related risks. The statement provides feedback on responses to Consultation Paper 10/25 and outlines the final policy in Supervisory Statement 4/25. Key areas include strengthening governance, enhancing risk management frameworks, advancing climate scenario analysis, improving data quality, and maintaining transparent disclosures. The PRA emphasizes a proportionate application of these expectations, considering firms' size and complexity, and introduces clarifications on the role of scenario analysis and reverse stress testing.</w:t>
      </w:r>
      <w:r/>
    </w:p>
    <w:p>
      <w:pPr>
        <w:pStyle w:val="ListNumber"/>
        <w:spacing w:line="240" w:lineRule="auto"/>
        <w:ind w:left="720"/>
      </w:pPr>
      <w:r/>
      <w:hyperlink r:id="rId13">
        <w:r>
          <w:rPr>
            <w:color w:val="0000EE"/>
            <w:u w:val="single"/>
          </w:rPr>
          <w:t>https://www.bankofengland.co.uk/prudential-regulation/publication/2025/december/enhancing-banks-and-insurers-approaches-to-managing-climate-related-risks-ss</w:t>
        </w:r>
      </w:hyperlink>
      <w:r>
        <w:t xml:space="preserve"> - The PRA's Supervisory Statement 5/25, published on 3 December 2025, sets out expectations for firms' approaches to managing climate-related risks. It describes transmission channels through which these risks can arise and outlines supervisory expectations related to governance, risk management, climate scenario analysis, data, and disclosures. The statement aims to ensure that firms build the capabilities and resilience needed to effectively manage these risks, reflecting the evolving climate-related risk landscape.</w:t>
      </w:r>
      <w:r/>
    </w:p>
    <w:p>
      <w:pPr>
        <w:pStyle w:val="ListNumber"/>
        <w:spacing w:line="240" w:lineRule="auto"/>
        <w:ind w:left="720"/>
      </w:pPr>
      <w:r/>
      <w:hyperlink r:id="rId15">
        <w:r>
          <w:rPr>
            <w:color w:val="0000EE"/>
            <w:u w:val="single"/>
          </w:rPr>
          <w:t>https://www.bclplaw.com/en-US/events-insights-news/enhancing-banks-and-insurers-approaches-to-managing-climate-related-risks.html</w:t>
        </w:r>
      </w:hyperlink>
      <w:r>
        <w:t xml:space="preserve"> - Bryan Cave Leighton Paisner discusses the PRA's Policy Statement 25/25, highlighting that while firms have made progress since 2019, it has been uneven. The updated expectations aim to embed climate risk into governance, risk frameworks, and strategy, applying existing regulatory principles to climate-related risks with proportionate implementation based on a firm's exposure. The article emphasizes the importance of innovation and flexibility while setting clear outcomes for risk identification, management, and governance. Firms have six months to evidence their approach, including conducting gap analyses and developing action plans.</w:t>
      </w:r>
      <w:r/>
    </w:p>
    <w:p>
      <w:pPr>
        <w:pStyle w:val="ListNumber"/>
        <w:spacing w:line="240" w:lineRule="auto"/>
        <w:ind w:left="720"/>
      </w:pPr>
      <w:r/>
      <w:hyperlink r:id="rId11">
        <w:r>
          <w:rPr>
            <w:color w:val="0000EE"/>
            <w:u w:val="single"/>
          </w:rPr>
          <w:t>https://www.isda.org/2025/07/31/isda-iif-responds-to-the-pra-consultation-cp10-25-on-enhancing-banks-and-insurers-approaches-to-managing-climate-related-risks/</w:t>
        </w:r>
      </w:hyperlink>
      <w:r>
        <w:t xml:space="preserve"> - The International Swaps and Derivatives Association (ISDA) and the Institute of International Finance (IIF) responded to the PRA's Consultation Paper 10/25, expressing broad support for the PRA's climate risk approach. They caution against overly prescriptive or bespoke climate-specific requirements and advocate for integrating climate risk into existing risk frameworks rather than creating standalone processes. The response calls for flexibility in governance, scenario analysis, reverse stress testing, and data expectations to accommodate diverse business models and international firms.</w:t>
      </w:r>
      <w:r/>
    </w:p>
    <w:p>
      <w:pPr>
        <w:pStyle w:val="ListNumber"/>
        <w:spacing w:line="240" w:lineRule="auto"/>
        <w:ind w:left="720"/>
      </w:pPr>
      <w:r/>
      <w:hyperlink r:id="rId12">
        <w:r>
          <w:rPr>
            <w:color w:val="0000EE"/>
            <w:u w:val="single"/>
          </w:rPr>
          <w:t>https://www.lse.ac.uk/granthaminstitute/news/enhancing-banks-and-insurers-approaches-to-managing-climate-related-risks-four-imperatives-for-the-uk/</w:t>
        </w:r>
      </w:hyperlink>
      <w:r>
        <w:t xml:space="preserve"> - The Grantham Research Institute on Climate Change and the Environment outlines four imperatives for the UK in enhancing banks' and insurers' approaches to managing climate-related risks. These include providing clear guidance on timescales for scenario analysis, building sector-wide capability for robust risk assessment, and addressing misalignments between short-term financial planning and long-term climate risks. The article emphasizes the need for explicit requirements on long-term scenarios in capital planning and risk assessment, inclusion of late and abrupt policy scenarios, and transparency about inconsistencies between firms' near-term investment strategies and long-term risk assumptions.</w:t>
      </w:r>
      <w:r/>
    </w:p>
    <w:p>
      <w:pPr>
        <w:pStyle w:val="ListNumber"/>
        <w:spacing w:line="240" w:lineRule="auto"/>
        <w:ind w:left="720"/>
      </w:pPr>
      <w:r/>
      <w:hyperlink r:id="rId14">
        <w:r>
          <w:rPr>
            <w:color w:val="0000EE"/>
            <w:u w:val="single"/>
          </w:rPr>
          <w:t>https://www.pwc.co.uk/industries/financial-services/understanding-regulatory-developments/pra-proposes-higher-bar-for-managing-climate-risks.html</w:t>
        </w:r>
      </w:hyperlink>
      <w:r>
        <w:t xml:space="preserve"> - PwC UK discusses the PRA's Consultation Paper 10/25, which updates expectations for how banks and insurers should manage climate-related risks. Building on the 2019 guidance in SS3/19, the consultation aims to clarify and enhance existing guidance to promote greater consistency in firms' approaches to managing climate risk. The proposals represent a step up in terms of requirements and expectations, emphasizing the need for firms to integrate climate risk into existing risk frameworks and adopt a proportionate, risk-based approach.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regulationtomorrow.com/eu/pra-ps25-25-enhancing-banks-and-insurers-approaches-to-managing-climate-related-risks-update-to-ss3-19/" TargetMode="External"/><Relationship Id="rId10" Type="http://schemas.openxmlformats.org/officeDocument/2006/relationships/hyperlink" Target="https://www.bankofengland.co.uk/prudential-regulation/publication/2025/december/enhancing-banks-and-insurers-approaches-to-managing-climate-related-risks-policy-statement" TargetMode="External"/><Relationship Id="rId11" Type="http://schemas.openxmlformats.org/officeDocument/2006/relationships/hyperlink" Target="https://www.isda.org/2025/07/31/isda-iif-responds-to-the-pra-consultation-cp10-25-on-enhancing-banks-and-insurers-approaches-to-managing-climate-related-risks/" TargetMode="External"/><Relationship Id="rId12" Type="http://schemas.openxmlformats.org/officeDocument/2006/relationships/hyperlink" Target="https://www.lse.ac.uk/granthaminstitute/news/enhancing-banks-and-insurers-approaches-to-managing-climate-related-risks-four-imperatives-for-the-uk/" TargetMode="External"/><Relationship Id="rId13" Type="http://schemas.openxmlformats.org/officeDocument/2006/relationships/hyperlink" Target="https://www.bankofengland.co.uk/prudential-regulation/publication/2025/december/enhancing-banks-and-insurers-approaches-to-managing-climate-related-risks-ss" TargetMode="External"/><Relationship Id="rId14" Type="http://schemas.openxmlformats.org/officeDocument/2006/relationships/hyperlink" Target="https://www.pwc.co.uk/industries/financial-services/understanding-regulatory-developments/pra-proposes-higher-bar-for-managing-climate-risks.html" TargetMode="External"/><Relationship Id="rId15" Type="http://schemas.openxmlformats.org/officeDocument/2006/relationships/hyperlink" Target="https://www.bclplaw.com/en-US/events-insights-news/enhancing-banks-and-insurers-approaches-to-managing-climate-related-risks.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