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Regulatory shifts accelerate global oversight of delegated underwriting authorities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As global authorities tighten oversight of delegated underwriting authority enterprises (DUAEs) , the marketplace that includes managing general agents (MGAs), program managers and other delegated underwriters , insurers, intermediaries and regulators are reworking the balance between innovation and control. According to the original report, recent regulatory moves have emphasised stricter compliance, clearer governance expectations and enhanced risk-management deliverables, even where rules apply indirectly through carrier obligations. </w:t>
      </w:r>
      <w:hyperlink r:id="rId9">
        <w:r>
          <w:rPr>
            <w:color w:val="0000EE"/>
            <w:u w:val="single"/>
          </w:rPr>
          <w:t>[1]</w:t>
        </w:r>
      </w:hyperlink>
      <w:hyperlink r:id="rId9">
        <w:r>
          <w:rPr>
            <w:color w:val="0000EE"/>
            <w:u w:val="single"/>
          </w:rPr>
          <w:t>[2]</w:t>
        </w:r>
      </w:hyperlink>
      <w:r/>
    </w:p>
    <w:p>
      <w:r/>
      <w:r>
        <w:t xml:space="preserve">A set of common supervisory themes has emerged across jurisdictions. Regulators are reaffirming that delegation does not relieve insurers of their obligations to policyholders or supervisors; many mature markets now require DUAEs to be licensed or formally registered; solvency and operational-risk frameworks are being extended to delegated models either directly or via carrier oversight; and consumer protections , from complaints handling to data privacy , are being strengthened. Industry data shows that auditability and mandatory reporting of material outsourcing arrangements are increasingly standard. </w:t>
      </w:r>
      <w:hyperlink r:id="rId9">
        <w:r>
          <w:rPr>
            <w:color w:val="0000EE"/>
            <w:u w:val="single"/>
          </w:rPr>
          <w:t>[1]</w:t>
        </w:r>
      </w:hyperlink>
      <w:hyperlink r:id="rId9">
        <w:r>
          <w:rPr>
            <w:color w:val="0000EE"/>
            <w:u w:val="single"/>
          </w:rPr>
          <w:t>[2]</w:t>
        </w:r>
      </w:hyperlink>
      <w:hyperlink r:id="rId10">
        <w:r>
          <w:rPr>
            <w:color w:val="0000EE"/>
            <w:u w:val="single"/>
          </w:rPr>
          <w:t>[5]</w:t>
        </w:r>
      </w:hyperlink>
      <w:r/>
    </w:p>
    <w:p>
      <w:r/>
      <w:r>
        <w:t xml:space="preserve">Regulatory alignment with international standards is driving much of this change. Supervisory frameworks are drawing on the IAIS Insurance Core Principles and, where relevant, elements of Solvency II and Basel III to improve cross-border comparability and reduce opportunities for regulatory arbitrage. The original report notes, however, that fragmentation remains: passporting and access rights for DUAEs still depend on the rules of the licensing jurisdiction rather than being universally guaranteed. </w:t>
      </w:r>
      <w:hyperlink r:id="rId9">
        <w:r>
          <w:rPr>
            <w:color w:val="0000EE"/>
            <w:u w:val="single"/>
          </w:rPr>
          <w:t>[1]</w:t>
        </w:r>
      </w:hyperlink>
      <w:hyperlink r:id="rId9">
        <w:r>
          <w:rPr>
            <w:color w:val="0000EE"/>
            <w:u w:val="single"/>
          </w:rPr>
          <w:t>[2]</w:t>
        </w:r>
      </w:hyperlink>
      <w:r/>
    </w:p>
    <w:p>
      <w:r/>
      <w:r>
        <w:t xml:space="preserve">Jurisdictions that have adapted rules specifically for delegated models , Singapore, parts of the United States, Lloyd’s and several European markets , are positioning themselves as hubs for DUAE activity. The revised Insurance Act in Singapore, for example, stresses insurer accountability for outsourced underwriting, capital adequacy and consumer protection while fostering insurtech innovation, according to the original report. Miami and Lloyd’s markets have also become important centres for Latin American placements and coverholder-driven growth respectively. Regulatory fragmentation in regions such as Latin America continues to limit seamless cross-border operations. </w:t>
      </w:r>
      <w:hyperlink r:id="rId9">
        <w:r>
          <w:rPr>
            <w:color w:val="0000EE"/>
            <w:u w:val="single"/>
          </w:rPr>
          <w:t>[1]</w:t>
        </w:r>
      </w:hyperlink>
      <w:hyperlink r:id="rId9">
        <w:r>
          <w:rPr>
            <w:color w:val="0000EE"/>
            <w:u w:val="single"/>
          </w:rPr>
          <w:t>[2]</w:t>
        </w:r>
      </w:hyperlink>
      <w:r/>
    </w:p>
    <w:p>
      <w:r/>
      <w:r>
        <w:t xml:space="preserve">The surge of third-party capacity , from capital markets and insurance-linked securities to private-equity-backed vehicles , has altered the risk calculus for carriers that partner with DUAEs. The original report cautions that expanded capacity requires proportionate due diligence and ongoing monitoring, and that regulators are likely to demand more rigorous contingency planning, wind-up provisions and operational resilience from delegated entities and their insurers. Deloitte’s industry work underscores similar priorities around governance, conduct and the need for effective compliance frameworks as the sector digitises. </w:t>
      </w:r>
      <w:hyperlink r:id="rId9">
        <w:r>
          <w:rPr>
            <w:color w:val="0000EE"/>
            <w:u w:val="single"/>
          </w:rPr>
          <w:t>[1]</w:t>
        </w:r>
      </w:hyperlink>
      <w:hyperlink r:id="rId9">
        <w:r>
          <w:rPr>
            <w:color w:val="0000EE"/>
            <w:u w:val="single"/>
          </w:rPr>
          <w:t>[2]</w:t>
        </w:r>
      </w:hyperlink>
      <w:hyperlink r:id="rId11">
        <w:r>
          <w:rPr>
            <w:color w:val="0000EE"/>
            <w:u w:val="single"/>
          </w:rPr>
          <w:t>[3]</w:t>
        </w:r>
      </w:hyperlink>
      <w:hyperlink r:id="rId12">
        <w:r>
          <w:rPr>
            <w:color w:val="0000EE"/>
            <w:u w:val="single"/>
          </w:rPr>
          <w:t>[7]</w:t>
        </w:r>
      </w:hyperlink>
      <w:r/>
    </w:p>
    <w:p>
      <w:r/>
      <w:r>
        <w:t xml:space="preserve">Technology and artificial intelligence introduce both opportunity and regulatory complexity. Jurisdictions are beginning to set expectations for fairness, transparency and governance where AI is used in underwriting or claims , with the EU taking a prescriptive route through its AI Act and the UK favouring principles-based guidance, according to legal analysis. Regulators and supervisors are also signalling the need for robust controls around external consumer data, AI systems and model governance to prevent consumer harm and discrimination. The Society of Actuaries’ recent work on AI risk-management frameworks aligns with calls for stronger consumer-protection measures and operational resilience. </w:t>
      </w:r>
      <w:hyperlink r:id="rId13">
        <w:r>
          <w:rPr>
            <w:color w:val="0000EE"/>
            <w:u w:val="single"/>
          </w:rPr>
          <w:t>[4]</w:t>
        </w:r>
      </w:hyperlink>
      <w:hyperlink r:id="rId13">
        <w:r>
          <w:rPr>
            <w:color w:val="0000EE"/>
            <w:u w:val="single"/>
          </w:rPr>
          <w:t>[6]</w:t>
        </w:r>
      </w:hyperlink>
      <w:hyperlink r:id="rId12">
        <w:r>
          <w:rPr>
            <w:color w:val="0000EE"/>
            <w:u w:val="single"/>
          </w:rPr>
          <w:t>[7]</w:t>
        </w:r>
      </w:hyperlink>
      <w:hyperlink r:id="rId10">
        <w:r>
          <w:rPr>
            <w:color w:val="0000EE"/>
            <w:u w:val="single"/>
          </w:rPr>
          <w:t>[5]</w:t>
        </w:r>
      </w:hyperlink>
      <w:r/>
    </w:p>
    <w:p>
      <w:r/>
      <w:r>
        <w:t xml:space="preserve">Market participants are adapting. Rating and assessment initiatives such as AM Best’s Performance Assessment for DUAEs are being used by regulators and buyers of capacity to obtain independent, comparable insight into underwriting capabilities, governance, financial condition and operational controls. According to the original report, these assessments are becoming a practical complement to regulatory reforms by supplying hard-to-find information and premium statistics that regulators and counterparties value. As supervision evolves, the ability to assess delegated entities consistently and transparently will be essential to sustaining growth while protecting policyholders. </w:t>
      </w:r>
      <w:hyperlink r:id="rId9">
        <w:r>
          <w:rPr>
            <w:color w:val="0000EE"/>
            <w:u w:val="single"/>
          </w:rPr>
          <w:t>[1]</w:t>
        </w:r>
      </w:hyperlink>
      <w:hyperlink r:id="rId9">
        <w:r>
          <w:rPr>
            <w:color w:val="0000EE"/>
            <w:u w:val="single"/>
          </w:rPr>
          <w:t>[2]</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(Insurance Journal) - Paragraph 1, Paragraph 2, Paragraph 3, Paragraph 4, Paragraph 5, Paragraph 7 </w:t>
      </w:r>
      <w:r/>
    </w:p>
    <w:p>
      <w:pPr>
        <w:pStyle w:val="ListBullet"/>
        <w:spacing w:line="240" w:lineRule="auto"/>
        <w:ind w:left="720"/>
      </w:pPr>
      <w:r/>
      <w:hyperlink r:id="rId9">
        <w:r>
          <w:rPr>
            <w:color w:val="0000EE"/>
            <w:u w:val="single"/>
          </w:rPr>
          <w:t>[2]</w:t>
        </w:r>
      </w:hyperlink>
      <w:r>
        <w:t xml:space="preserve"> (Insurance Journal summary) - Paragraph 1, Paragraph 2, Paragraph 3, Paragraph 4, Paragraph 5, Paragraph 7 </w:t>
      </w:r>
      <w:r/>
    </w:p>
    <w:p>
      <w:pPr>
        <w:pStyle w:val="ListBullet"/>
        <w:spacing w:line="240" w:lineRule="auto"/>
        <w:ind w:left="720"/>
      </w:pPr>
      <w:r/>
      <w:hyperlink r:id="rId11">
        <w:r>
          <w:rPr>
            <w:color w:val="0000EE"/>
            <w:u w:val="single"/>
          </w:rPr>
          <w:t>[3]</w:t>
        </w:r>
      </w:hyperlink>
      <w:r>
        <w:t xml:space="preserve"> (Deloitte seminar) - Paragraph 5 </w:t>
      </w:r>
      <w:r/>
    </w:p>
    <w:p>
      <w:pPr>
        <w:pStyle w:val="ListBullet"/>
        <w:spacing w:line="240" w:lineRule="auto"/>
        <w:ind w:left="720"/>
      </w:pPr>
      <w:r/>
      <w:hyperlink r:id="rId13">
        <w:r>
          <w:rPr>
            <w:color w:val="0000EE"/>
            <w:u w:val="single"/>
          </w:rPr>
          <w:t>[4]</w:t>
        </w:r>
      </w:hyperlink>
      <w:r>
        <w:t xml:space="preserve"> (JD Supra AI article) - Paragraph 6 </w:t>
      </w:r>
      <w:r/>
    </w:p>
    <w:p>
      <w:pPr>
        <w:pStyle w:val="ListBullet"/>
        <w:spacing w:line="240" w:lineRule="auto"/>
        <w:ind w:left="720"/>
      </w:pPr>
      <w:r/>
      <w:hyperlink r:id="rId10">
        <w:r>
          <w:rPr>
            <w:color w:val="0000EE"/>
            <w:u w:val="single"/>
          </w:rPr>
          <w:t>[5]</w:t>
        </w:r>
      </w:hyperlink>
      <w:r>
        <w:t xml:space="preserve"> (SOA AI risk-management report) - Paragraph 2, Paragraph 6 </w:t>
      </w:r>
      <w:r/>
    </w:p>
    <w:p>
      <w:pPr>
        <w:pStyle w:val="ListBullet"/>
        <w:spacing w:line="240" w:lineRule="auto"/>
        <w:ind w:left="720"/>
      </w:pPr>
      <w:r/>
      <w:hyperlink r:id="rId13">
        <w:r>
          <w:rPr>
            <w:color w:val="0000EE"/>
            <w:u w:val="single"/>
          </w:rPr>
          <w:t>[6]</w:t>
        </w:r>
      </w:hyperlink>
      <w:r>
        <w:t xml:space="preserve"> (JD Supra duplicate) - Paragraph 6 </w:t>
      </w:r>
      <w:r/>
    </w:p>
    <w:p>
      <w:pPr>
        <w:pStyle w:val="ListBullet"/>
        <w:spacing w:line="240" w:lineRule="auto"/>
        <w:ind w:left="720"/>
      </w:pPr>
      <w:r/>
      <w:hyperlink r:id="rId12">
        <w:r>
          <w:rPr>
            <w:color w:val="0000EE"/>
            <w:u w:val="single"/>
          </w:rPr>
          <w:t>[7]</w:t>
        </w:r>
      </w:hyperlink>
      <w:r>
        <w:t xml:space="preserve"> (Deloitte NYDFS/AI paper) - Paragraph 6, Paragraph 5</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https://www.insurancejournal.com/news/international/2025/12/09/850320.htm</w:t>
        </w:r>
      </w:hyperlink>
      <w:r>
        <w:t xml:space="preserve"> - Please view link - unable to able to access data</w:t>
      </w:r>
      <w:r/>
    </w:p>
    <w:p>
      <w:pPr>
        <w:pStyle w:val="ListNumber"/>
        <w:spacing w:line="240" w:lineRule="auto"/>
        <w:ind w:left="720"/>
      </w:pPr>
      <w:r/>
      <w:hyperlink r:id="rId9">
        <w:r>
          <w:rPr>
            <w:color w:val="0000EE"/>
            <w:u w:val="single"/>
          </w:rPr>
          <w:t>https://www.insurancejournal.com/news/international/2025/12/09/850320.htm</w:t>
        </w:r>
      </w:hyperlink>
      <w:r>
        <w:t xml:space="preserve"> - This article discusses the evolving regulatory landscape for Delegated Underwriting Authority Enterprises (DUAEs), including Managing General Agents (MGAs) and similar entities. It highlights the introduction of stricter compliance measures, risk management expectations, and governance frameworks by global authorities. The piece emphasizes the importance of DUAEs in the global insurance and reinsurance markets, noting their role in extending market reach and delivering niche expertise. It also outlines common regulatory themes such as insurer responsibility, licensing, solvency, consumer protections, auditability, and alignment with international standards like the IAIS Insurance Core Principles, Solvency II, and Basel III.</w:t>
      </w:r>
      <w:r/>
    </w:p>
    <w:p>
      <w:pPr>
        <w:pStyle w:val="ListNumber"/>
        <w:spacing w:line="240" w:lineRule="auto"/>
        <w:ind w:left="720"/>
      </w:pPr>
      <w:r/>
      <w:hyperlink r:id="rId11">
        <w:r>
          <w:rPr>
            <w:color w:val="0000EE"/>
            <w:u w:val="single"/>
          </w:rPr>
          <w:t>https://www.deloitte.com/southeast-asia/en/Industries/insurance/perspectives/insurance-risk-seminar-2024.html</w:t>
        </w:r>
      </w:hyperlink>
      <w:r>
        <w:t xml:space="preserve"> - Deloitte hosted a seminar on the dynamic regulatory landscape in the insurance industry, focusing on key topics such as governance, accountability, conduct and culture, sales and distribution, and effective compliance frameworks. The event also addressed the innovative use of Generative Artificial Intelligence (Gen AI) in Anti-Money Laundering (AML) applications. This seminar provided industry professionals with valuable insights into critical compliance concerns and emerging trends, highlighting the importance of robust governance and compliance frameworks in the evolving insurance sector.</w:t>
      </w:r>
      <w:r/>
    </w:p>
    <w:p>
      <w:pPr>
        <w:pStyle w:val="ListNumber"/>
        <w:spacing w:line="240" w:lineRule="auto"/>
        <w:ind w:left="720"/>
      </w:pPr>
      <w:r/>
      <w:hyperlink r:id="rId13">
        <w:r>
          <w:rPr>
            <w:color w:val="0000EE"/>
            <w:u w:val="single"/>
          </w:rPr>
          <w:t>https://www.jdsupra.com/legalnews/governance-and-underwriting-in-the-age-9788653/</w:t>
        </w:r>
      </w:hyperlink>
      <w:r>
        <w:t xml:space="preserve"> - This article examines the regulatory, risk, and governance considerations for insurers using Artificial Intelligence (AI). It discusses the differing approaches to AI regulation in the European Union (EU) and the United Kingdom (UK), highlighting the EU's prescriptive AI Act and the UK's evolving principles. The piece emphasizes the need for insurers to navigate these regulatory landscapes carefully, considering the implications for compliance and the integration of AI technologies in underwriting processes.</w:t>
      </w:r>
      <w:r/>
    </w:p>
    <w:p>
      <w:pPr>
        <w:pStyle w:val="ListNumber"/>
        <w:spacing w:line="240" w:lineRule="auto"/>
        <w:ind w:left="720"/>
      </w:pPr>
      <w:r/>
      <w:hyperlink r:id="rId10">
        <w:r>
          <w:rPr>
            <w:color w:val="0000EE"/>
            <w:u w:val="single"/>
          </w:rPr>
          <w:t>https://www.soa.org/497d6f/globalassets/assets/files/resources/research-report/2025/ai-risk-management-frameworks-report-2025.pdf</w:t>
        </w:r>
      </w:hyperlink>
      <w:r>
        <w:t xml:space="preserve"> - This report discusses the key issues and best practices in insurance compliance, focusing on consumer protection. It highlights how regulators worldwide are introducing better consumer protection measures for insurance customers, including the UK's consumer duty principle, the EU's protections for policyholders in case of insurer insolvency, and the U.S. states' Fair Access to Insurance Requirements plans. The report underscores the importance of robust compliance frameworks to ensure fair treatment of policyholders and maintain trust in the insurance industry.</w:t>
      </w:r>
      <w:r/>
    </w:p>
    <w:p>
      <w:pPr>
        <w:pStyle w:val="ListNumber"/>
        <w:spacing w:line="240" w:lineRule="auto"/>
        <w:ind w:left="720"/>
      </w:pPr>
      <w:r/>
      <w:hyperlink r:id="rId13">
        <w:r>
          <w:rPr>
            <w:color w:val="0000EE"/>
            <w:u w:val="single"/>
          </w:rPr>
          <w:t>https://www.jdsupra.com/legalnews/governance-and-underwriting-in-the-age-9788653/</w:t>
        </w:r>
      </w:hyperlink>
      <w:r>
        <w:t xml:space="preserve"> - This article examines the regulatory, risk, and governance considerations for insurers using Artificial Intelligence (AI). It discusses the differing approaches to AI regulation in the European Union (EU) and the United Kingdom (UK), highlighting the EU's prescriptive AI Act and the UK's evolving principles. The piece emphasizes the need for insurers to navigate these regulatory landscapes carefully, considering the implications for compliance and the integration of AI technologies in underwriting processes.</w:t>
      </w:r>
      <w:r/>
    </w:p>
    <w:p>
      <w:pPr>
        <w:pStyle w:val="ListNumber"/>
        <w:spacing w:line="240" w:lineRule="auto"/>
        <w:ind w:left="720"/>
      </w:pPr>
      <w:r/>
      <w:hyperlink r:id="rId12">
        <w:r>
          <w:rPr>
            <w:color w:val="0000EE"/>
            <w:u w:val="single"/>
          </w:rPr>
          <w:t>https://www.deloitte.com/content/dam/assets-zone1/jp/ja/docs/industries/financial-services/2024/202402_ins_regulation_eng.pdf</w:t>
        </w:r>
      </w:hyperlink>
      <w:r>
        <w:t xml:space="preserve"> - This document outlines regulatory developments in the global insurance sector, focusing on the New York Department of Financial Services (NYDFS) circular letter on the use of external consumer data and information sources (ECDIS) and artificial intelligence systems (AIS) in insurance underwriting and pricing. It details the fairness principles, governance and risk management expectations, and transparency requirements for insurers using ECDIS and AIS, emphasizing the need for corporate governance frameworks, appropriate oversight, and clear communication with insured parties regarding underwriting decisions.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surancejournal.com/news/international/2025/12/09/850320.htm" TargetMode="External"/><Relationship Id="rId10" Type="http://schemas.openxmlformats.org/officeDocument/2006/relationships/hyperlink" Target="https://www.soa.org/497d6f/globalassets/assets/files/resources/research-report/2025/ai-risk-management-frameworks-report-2025.pdf" TargetMode="External"/><Relationship Id="rId11" Type="http://schemas.openxmlformats.org/officeDocument/2006/relationships/hyperlink" Target="https://www.deloitte.com/southeast-asia/en/Industries/insurance/perspectives/insurance-risk-seminar-2024.html" TargetMode="External"/><Relationship Id="rId12" Type="http://schemas.openxmlformats.org/officeDocument/2006/relationships/hyperlink" Target="https://www.deloitte.com/content/dam/assets-zone1/jp/ja/docs/industries/financial-services/2024/202402_ins_regulation_eng.pdf" TargetMode="External"/><Relationship Id="rId13" Type="http://schemas.openxmlformats.org/officeDocument/2006/relationships/hyperlink" Target="https://www.jdsupra.com/legalnews/governance-and-underwriting-in-the-age-9788653/" TargetMode="External"/><Relationship Id="rId14"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