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Revitalising underwriting: the key to unlocking life‑insurance value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Underwriting decisions often drive more economic value in life‑insurance planning than carrier selection, product design or illustrated pricing , yet advisers and clients routinely treat it as an afterthought. According to the original report, failures to manage underwriting actively can cost clients hundreds of thousands, even millions, over a lifetime, because the risk class assigned at issue determines the true long‑term price of a policy. </w:t>
      </w:r>
      <w:hyperlink r:id="rId9">
        <w:r>
          <w:rPr>
            <w:color w:val="0000EE"/>
            <w:u w:val="single"/>
          </w:rPr>
          <w:t>[1]</w:t>
        </w:r>
      </w:hyperlink>
      <w:r/>
    </w:p>
    <w:p>
      <w:r/>
      <w:r>
        <w:t xml:space="preserve">The paradox is familiar: buyers will agonise over carrier ratings, policy design and projected illustrations, while neglecting the very process that fixes the client’s cost of cover. The original report likens this to parents who buy the safest products for a child but then expose them to routine risks without thought , illustrating how perceived priorities can misalign with actual exposure. </w:t>
      </w:r>
      <w:hyperlink r:id="rId9">
        <w:r>
          <w:rPr>
            <w:color w:val="0000EE"/>
            <w:u w:val="single"/>
          </w:rPr>
          <w:t>[1]</w:t>
        </w:r>
      </w:hyperlink>
      <w:r/>
    </w:p>
    <w:p>
      <w:r/>
      <w:r>
        <w:t xml:space="preserve">Underwriting is where “the rubber meets the road”: an insurer’s assessment of age, health, lifestyle, medical history and other data translates directly into preferred, standard, table‑rated or declined decisions that move premiums markedly. Industry primers explain those core inputs and the way they are weighed, from medical exams and labs to occupational and driving histories. </w:t>
      </w:r>
      <w:hyperlink r:id="rId9">
        <w:r>
          <w:rPr>
            <w:color w:val="0000EE"/>
            <w:u w:val="single"/>
          </w:rPr>
          <w:t>[1]</w:t>
        </w:r>
      </w:hyperlink>
      <w:hyperlink r:id="rId10">
        <w:r>
          <w:rPr>
            <w:color w:val="0000EE"/>
            <w:u w:val="single"/>
          </w:rPr>
          <w:t>[2]</w:t>
        </w:r>
      </w:hyperlink>
      <w:r/>
    </w:p>
    <w:p>
      <w:r/>
      <w:r>
        <w:t xml:space="preserve">The arithmetic is stark. The original report gives an illustration in which a 50‑year‑old seeking $10 million of permanent coverage faces a 30% premium increase simply by moving from preferred to standard , a swing that translates into more than a 100‑basis‑point difference in long‑term return and a net present‑value delta measured in the low hundreds of thousands at typical discount rates. That kind of return improvement would be material in any investment discussion. </w:t>
      </w:r>
      <w:hyperlink r:id="rId9">
        <w:r>
          <w:rPr>
            <w:color w:val="0000EE"/>
            <w:u w:val="single"/>
          </w:rPr>
          <w:t>[1]</w:t>
        </w:r>
      </w:hyperlink>
      <w:r/>
    </w:p>
    <w:p>
      <w:r/>
      <w:r>
        <w:t xml:space="preserve">Because insurers vary in how they interpret medical findings and risk factors, the underwriting result is not inevitable. Britannica and insurer guidance both note that underwriting outcomes can differ substantially between carriers and between individual underwriters; what one company views as a disqualifier another may accept at a better class. Submitting the same file to multiple carriers can therefore produce radically different pricing outcomes. </w:t>
      </w:r>
      <w:hyperlink r:id="rId10">
        <w:r>
          <w:rPr>
            <w:color w:val="0000EE"/>
            <w:u w:val="single"/>
          </w:rPr>
          <w:t>[2]</w:t>
        </w:r>
      </w:hyperlink>
      <w:hyperlink r:id="rId11">
        <w:r>
          <w:rPr>
            <w:color w:val="0000EE"/>
            <w:u w:val="single"/>
          </w:rPr>
          <w:t>[3]</w:t>
        </w:r>
      </w:hyperlink>
      <w:r/>
    </w:p>
    <w:p>
      <w:r/>
      <w:r>
        <w:t xml:space="preserve">The divergence widens at higher levels of impairment. As the original report notes, table ratings commonly used for higher‑risk applicants can multiply cost: a table D charge might double a premium versus a carrier willing to offer standard. Practical guides from insurers underline that underwriting types (medical versus financial or simplified issue) and queueing for specialist underwriting can alter both price and fulfilment speed. </w:t>
      </w:r>
      <w:hyperlink r:id="rId9">
        <w:r>
          <w:rPr>
            <w:color w:val="0000EE"/>
            <w:u w:val="single"/>
          </w:rPr>
          <w:t>[1]</w:t>
        </w:r>
      </w:hyperlink>
      <w:hyperlink r:id="rId11">
        <w:r>
          <w:rPr>
            <w:color w:val="0000EE"/>
            <w:u w:val="single"/>
          </w:rPr>
          <w:t>[3]</w:t>
        </w:r>
      </w:hyperlink>
      <w:r/>
    </w:p>
    <w:p>
      <w:r/>
      <w:r>
        <w:t xml:space="preserve">Good underwriting outcomes are typically engineered, not accidental. Advisers who prepare clients , assembling medical records, timing applications to allow for preparatory care, and choosing carriers known to view specific conditions more favourably , significantly improve the odds of preferred classifications. Timelines vary: some policies can be underwritten quickly, while others take weeks when additional exams, records or specialist reviews are needed. Technological advances such as data analytics and automated medical‑data checks are accelerating decisions, but they also alter which evidence insurers prioritise. </w:t>
      </w:r>
      <w:hyperlink r:id="rId9">
        <w:r>
          <w:rPr>
            <w:color w:val="0000EE"/>
            <w:u w:val="single"/>
          </w:rPr>
          <w:t>[1]</w:t>
        </w:r>
      </w:hyperlink>
      <w:hyperlink r:id="rId12">
        <w:r>
          <w:rPr>
            <w:color w:val="0000EE"/>
            <w:u w:val="single"/>
          </w:rPr>
          <w:t>[5]</w:t>
        </w:r>
      </w:hyperlink>
      <w:hyperlink r:id="rId13">
        <w:r>
          <w:rPr>
            <w:color w:val="0000EE"/>
            <w:u w:val="single"/>
          </w:rPr>
          <w:t>[6]</w:t>
        </w:r>
      </w:hyperlink>
      <w:r/>
    </w:p>
    <w:p>
      <w:r/>
      <w:r>
        <w:t xml:space="preserve">As mortality assumptions, data sources and underwriting models evolve, advisers who elevate underwriting work , dedicating time to carrier selection based on likely class outcomes, pre‑application preparation, and multicarrier submission strategies , will likely deliver the largest measurable value to clients. Industry commentary frames underwriting as the backbone of insurer stability and appropriate pricing; for planners, treating it as a primary driver of decision‑making, rather than a post‑selection hurdle, is good fiduciary practice. </w:t>
      </w:r>
      <w:hyperlink r:id="rId9">
        <w:r>
          <w:rPr>
            <w:color w:val="0000EE"/>
            <w:u w:val="single"/>
          </w:rPr>
          <w:t>[1]</w:t>
        </w:r>
      </w:hyperlink>
      <w:hyperlink r:id="rId13">
        <w:r>
          <w:rPr>
            <w:color w:val="0000EE"/>
            <w:u w:val="single"/>
          </w:rPr>
          <w:t>[6]</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(WealthManagement) - Paragraph 1, Paragraph 2, Paragraph 3, Paragraph 4, Paragraph 6, Paragraph 7, Paragraph 8 </w:t>
      </w:r>
      <w:r/>
    </w:p>
    <w:p>
      <w:pPr>
        <w:pStyle w:val="ListBullet"/>
        <w:spacing w:line="240" w:lineRule="auto"/>
        <w:ind w:left="720"/>
      </w:pPr>
      <w:r/>
      <w:hyperlink r:id="rId10">
        <w:r>
          <w:rPr>
            <w:color w:val="0000EE"/>
            <w:u w:val="single"/>
          </w:rPr>
          <w:t>[2]</w:t>
        </w:r>
      </w:hyperlink>
      <w:r>
        <w:t xml:space="preserve"> (Britannica Money) - Paragraph 3, Paragraph 5 </w:t>
      </w:r>
      <w:r/>
    </w:p>
    <w:p>
      <w:pPr>
        <w:pStyle w:val="ListBullet"/>
        <w:spacing w:line="240" w:lineRule="auto"/>
        <w:ind w:left="720"/>
      </w:pPr>
      <w:r/>
      <w:hyperlink r:id="rId11">
        <w:r>
          <w:rPr>
            <w:color w:val="0000EE"/>
            <w:u w:val="single"/>
          </w:rPr>
          <w:t>[3]</w:t>
        </w:r>
      </w:hyperlink>
      <w:r>
        <w:t xml:space="preserve"> (Aflac) - Paragraph 5, Paragraph 6 </w:t>
      </w:r>
      <w:r/>
    </w:p>
    <w:p>
      <w:pPr>
        <w:pStyle w:val="ListBullet"/>
        <w:spacing w:line="240" w:lineRule="auto"/>
        <w:ind w:left="720"/>
      </w:pPr>
      <w:r/>
      <w:hyperlink r:id="rId12">
        <w:r>
          <w:rPr>
            <w:color w:val="0000EE"/>
            <w:u w:val="single"/>
          </w:rPr>
          <w:t>[5]</w:t>
        </w:r>
      </w:hyperlink>
      <w:r>
        <w:t xml:space="preserve"> (NerdWallet) - Paragraph 7 </w:t>
      </w:r>
      <w:r/>
    </w:p>
    <w:p>
      <w:pPr>
        <w:pStyle w:val="ListBullet"/>
        <w:spacing w:line="240" w:lineRule="auto"/>
        <w:ind w:left="720"/>
      </w:pPr>
      <w:r/>
      <w:hyperlink r:id="rId13">
        <w:r>
          <w:rPr>
            <w:color w:val="0000EE"/>
            <w:u w:val="single"/>
          </w:rPr>
          <w:t>[6]</w:t>
        </w:r>
      </w:hyperlink>
      <w:r>
        <w:t xml:space="preserve"> (SureSafeguard) - Paragraph 7, Paragraph 8 </w:t>
      </w:r>
      <w:r/>
    </w:p>
    <w:p>
      <w:pPr>
        <w:pStyle w:val="ListBullet"/>
        <w:spacing w:line="240" w:lineRule="auto"/>
        <w:ind w:left="720"/>
      </w:pPr>
      <w:r/>
      <w:hyperlink r:id="rId14">
        <w:r>
          <w:rPr>
            <w:color w:val="0000EE"/>
            <w:u w:val="single"/>
          </w:rPr>
          <w:t>[7]</w:t>
        </w:r>
      </w:hyperlink>
      <w:r>
        <w:t xml:space="preserve"> (Financial Focus Hub)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https://www.wealthmanagement.com/insurance/underwriting-in-insurance-planning</w:t>
        </w:r>
      </w:hyperlink>
      <w:r>
        <w:t xml:space="preserve"> - Please view link - unable to able to access data</w:t>
      </w:r>
      <w:r/>
    </w:p>
    <w:p>
      <w:pPr>
        <w:pStyle w:val="ListNumber"/>
        <w:spacing w:line="240" w:lineRule="auto"/>
        <w:ind w:left="720"/>
      </w:pPr>
      <w:r/>
      <w:hyperlink r:id="rId10">
        <w:r>
          <w:rPr>
            <w:color w:val="0000EE"/>
            <w:u w:val="single"/>
          </w:rPr>
          <w:t>https://www.britannica.com/money/life-insurance-underwriting</w:t>
        </w:r>
      </w:hyperlink>
      <w:r>
        <w:t xml:space="preserve"> - This article from Britannica Money explains the life insurance underwriting process, highlighting how insurers assess risk and set premiums. It details factors such as age, health, and lifestyle that influence underwriting decisions. The piece also discusses the duration of underwriting, noting that some policies are underwritten quickly, while others can take several weeks. Additionally, it covers group life insurance policies and how they differ from individual underwriting processes.</w:t>
      </w:r>
      <w:r/>
    </w:p>
    <w:p>
      <w:pPr>
        <w:pStyle w:val="ListNumber"/>
        <w:spacing w:line="240" w:lineRule="auto"/>
        <w:ind w:left="720"/>
      </w:pPr>
      <w:r/>
      <w:hyperlink r:id="rId11">
        <w:r>
          <w:rPr>
            <w:color w:val="0000EE"/>
            <w:u w:val="single"/>
          </w:rPr>
          <w:t>https://www.aflac.com/resources/life-insurance/how-does-life-insurance-underwriting-work.aspx</w:t>
        </w:r>
      </w:hyperlink>
      <w:r>
        <w:t xml:space="preserve"> - Aflac's article provides an overview of life insurance underwriting, describing it as the process where insurers evaluate an applicant’s information to determine risk and make policy decisions. It outlines the types of underwriting, including medical and financial, and discusses how insurers use this information to calculate premiums. The piece also offers tips for securing better life insurance rates and emphasizes the importance of understanding the underwriting process.</w:t>
      </w:r>
      <w:r/>
    </w:p>
    <w:p>
      <w:pPr>
        <w:pStyle w:val="ListNumber"/>
        <w:spacing w:line="240" w:lineRule="auto"/>
        <w:ind w:left="720"/>
      </w:pPr>
      <w:r/>
      <w:hyperlink r:id="rId16">
        <w:r>
          <w:rPr>
            <w:color w:val="0000EE"/>
            <w:u w:val="single"/>
          </w:rPr>
          <w:t>https://www.godigit.com/life-insurance/guides/life-insurance-underwriting</w:t>
        </w:r>
      </w:hyperlink>
      <w:r>
        <w:t xml:space="preserve"> - This guide from Digit Insurance delves into the importance of underwriting in life insurance, explaining how it ensures the stability and profitability of insurance companies by analyzing and managing risk. It discusses how underwriting determines premiums, assesses financial security, and adheres to regulations. The article also touches upon the implications of taking life insurance without undergoing underwriting, emphasizing the necessity of this process for determining appropriate coverage.</w:t>
      </w:r>
      <w:r/>
    </w:p>
    <w:p>
      <w:pPr>
        <w:pStyle w:val="ListNumber"/>
        <w:spacing w:line="240" w:lineRule="auto"/>
        <w:ind w:left="720"/>
      </w:pPr>
      <w:r/>
      <w:hyperlink r:id="rId12">
        <w:r>
          <w:rPr>
            <w:color w:val="0000EE"/>
            <w:u w:val="single"/>
          </w:rPr>
          <w:t>https://www.nerdwallet.com/article/insurance/life-insurance-underwriting</w:t>
        </w:r>
      </w:hyperlink>
      <w:r>
        <w:t xml:space="preserve"> - NerdWallet's article explores the life insurance underwriting process, detailing how long it can take—from as quick as 24 hours to as long as six weeks. It discusses factors that can slow down underwriting, such as the need for additional details about finances or complex health conditions. The piece advises applicants to gather necessary documentation and be responsive to questions from insurers to expedite the process.</w:t>
      </w:r>
      <w:r/>
    </w:p>
    <w:p>
      <w:pPr>
        <w:pStyle w:val="ListNumber"/>
        <w:spacing w:line="240" w:lineRule="auto"/>
        <w:ind w:left="720"/>
      </w:pPr>
      <w:r/>
      <w:hyperlink r:id="rId13">
        <w:r>
          <w:rPr>
            <w:color w:val="0000EE"/>
            <w:u w:val="single"/>
          </w:rPr>
          <w:t>https://www.suresafeguard.com/life-insurance-underwriting-factors/</w:t>
        </w:r>
      </w:hyperlink>
      <w:r>
        <w:t xml:space="preserve"> - Sure Safeguard's article examines the key factors influencing life insurance underwriting, including technological advances like artificial intelligence and machine learning. It explains how these technologies enable insurers to analyze vast amounts of data quickly and accurately, leading to more precise risk assessments. The piece also discusses how digital tools and data analytics have transformed underwriting processes, reducing the need for extensive paperwork and manual evaluations.</w:t>
      </w:r>
      <w:r/>
    </w:p>
    <w:p>
      <w:pPr>
        <w:pStyle w:val="ListNumber"/>
        <w:spacing w:line="240" w:lineRule="auto"/>
        <w:ind w:left="720"/>
      </w:pPr>
      <w:r/>
      <w:hyperlink r:id="rId14">
        <w:r>
          <w:rPr>
            <w:color w:val="0000EE"/>
            <w:u w:val="single"/>
          </w:rPr>
          <w:t>https://www.financialfocushub.com/archives/27164</w:t>
        </w:r>
      </w:hyperlink>
      <w:r>
        <w:t xml:space="preserve"> - Financial Focus Hub's article discusses the importance of insurance underwriting for both policyholders and insurers. It explains how underwriting ensures that premiums are fair and coverage is appropriate for the applicant's risk profile, protecting policyholders from unexpected claim denials. For insurers, underwriting safeguards financial stability, ensures accurate pricing, and minimizes losses. The piece emphasizes that underwriting is the backbone of the insurance industry, combining risk assessment, financial analysis, and regulatory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althmanagement.com/insurance/underwriting-in-insurance-planning" TargetMode="External"/><Relationship Id="rId10" Type="http://schemas.openxmlformats.org/officeDocument/2006/relationships/hyperlink" Target="https://www.britannica.com/money/life-insurance-underwriting" TargetMode="External"/><Relationship Id="rId11" Type="http://schemas.openxmlformats.org/officeDocument/2006/relationships/hyperlink" Target="https://www.aflac.com/resources/life-insurance/how-does-life-insurance-underwriting-work.aspx" TargetMode="External"/><Relationship Id="rId12" Type="http://schemas.openxmlformats.org/officeDocument/2006/relationships/hyperlink" Target="https://www.nerdwallet.com/article/insurance/life-insurance-underwriting" TargetMode="External"/><Relationship Id="rId13" Type="http://schemas.openxmlformats.org/officeDocument/2006/relationships/hyperlink" Target="https://www.suresafeguard.com/life-insurance-underwriting-factors/" TargetMode="External"/><Relationship Id="rId14" Type="http://schemas.openxmlformats.org/officeDocument/2006/relationships/hyperlink" Target="https://www.financialfocushub.com/archives/27164" TargetMode="External"/><Relationship Id="rId15" Type="http://schemas.openxmlformats.org/officeDocument/2006/relationships/hyperlink" Target="https://www.noahwire.com" TargetMode="External"/><Relationship Id="rId16" Type="http://schemas.openxmlformats.org/officeDocument/2006/relationships/hyperlink" Target="https://www.godigit.com/life-insurance/guides/life-insurance-underwri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