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Sustainability regulatory landscape accelerates as key compliance deadlines approach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Welcome to this enhanced Horizon briefing on late-breaking legislative and policy developments in sustainability, consolidating the lead bulletin and related summaries to highlight near-term obligations, litigation risks and policy shifts that will shape corporate planning through 2026 and beyond.</w:t>
      </w:r>
      <w:r/>
    </w:p>
    <w:p>
      <w:r/>
      <w:r>
        <w:t xml:space="preserve">A series of imminent compliance dates merit immediate attention. The EU Deforestation Regulation (EUDR) currently remains scheduled to apply to large operators and traders on 30 December 2025, while a range of reform proposals could delay implementation by up to a year; companies with EU exposure should track negotiations closely. California’s climate disclosure regime remains unsettled: SB 261’s January 1, 2026 enforcement date is stayed by the Ninth Circuit pending appeal, while SB 253’s proposed initial deadline for Scope 1 and 2 reporting remains targeted for 10 August 2026, with CARB signalling a “provide what you have” approach and first‑year enforcement discretion. Australia’s new sustainability reporting rules require Group 1 companies to reflect FY2025 data in reports due in Q1 2026 for many firms. Industry and in‑house compliance teams should prioritise these windows in their 2026 reporting calendars. (Reference: EU EUDR, California SB 253/SB 261, Australia reporting rules.) </w:t>
      </w:r>
      <w:hyperlink r:id="rId9">
        <w:r>
          <w:rPr>
            <w:color w:val="0000EE"/>
            <w:u w:val="single"/>
          </w:rPr>
          <w:t>[1]</w:t>
        </w:r>
      </w:hyperlink>
      <w:r/>
    </w:p>
    <w:p>
      <w:r/>
      <w:r>
        <w:t xml:space="preserve">COP30 in Belém (10–21 November) shifted the multilateral agenda from target‑setting toward implementation, adopting the Belém Political Package and launching several implementation mechanisms. Delegates agreed the Belém Mission to 1.5, a Global Implementation Accelerator and a finance track including a ministerial review of the Collective Quantified Goal; negotiators finalised a voluntary suite of 59 adaptation indicators and launched the Belém–Addis process to operationalise them. Parties also extended the deadline for transitioning Kyoto CDM activities to the Article 6.4 Paris mechanism to June 2026 and advanced arrangements to support loss and damage finance. Businesses should monitor emerging finance‑alignment expectations, Article 6 integrity and reporting requirements, and a nascent “just transitions” framework that will influence capital flows and disclosure priorities across the next NDC cycle. (Reference: COP30 outcomes and implications.) </w:t>
      </w:r>
      <w:hyperlink r:id="rId9">
        <w:r>
          <w:rPr>
            <w:color w:val="0000EE"/>
            <w:u w:val="single"/>
          </w:rPr>
          <w:t>[1]</w:t>
        </w:r>
      </w:hyperlink>
      <w:r/>
    </w:p>
    <w:p>
      <w:r/>
      <w:r>
        <w:t xml:space="preserve">Disclosure standards and voluntary reporting landscapes continue to evolve. The ISSB has initiated work on nature‑related financial disclosure standards, aligning with TNFD materials and signalling a draft standard by October 2026; the GHG Protocol opened consultation on Scope 2 revisions through 19 December; and the SBTi invited comment on a revised Corporate Net‑Zero Standard (V2) with responses due 8 December. These processes will affect investor expectations and the content of corporate climate and nature disclosures, and firms aligning voluntary targets should monitor timing and substance of drafts to avoid future restatements or greenwashing exposures. (Reference: ISSB, TNFD, GHG Protocol, SBTi consultations.) </w:t>
      </w:r>
      <w:hyperlink r:id="rId9">
        <w:r>
          <w:rPr>
            <w:color w:val="0000EE"/>
            <w:u w:val="single"/>
          </w:rPr>
          <w:t>[1]</w:t>
        </w:r>
      </w:hyperlink>
      <w:r/>
    </w:p>
    <w:p>
      <w:r/>
      <w:r>
        <w:t xml:space="preserve">Greenwashing litigation and regulatory enforcement are intensifying across jurisdictions. Recent US suits demonstrate three emergent themes: recyclability claims challenged under new state standards; ingredient and composition representations; and disputes over climate‑related fees and offset claims. Notable matters include putative class actions alleging false “100% recyclable” labelling, disputes over plant‑based ingredient assertions, and cases contesting carbon‑neutral marketing and offset fees. R.J. Reynolds Vapor Company has signalled a motion to dismiss claims that Vuse e‑cigarettes were falsely marketed as “carbon‑neutral,” asserting third‑party certification; the plaintiffs dispute the efficacy of the offsets relied upon. Meanwhile, Canada’s federal government has proposed narrowing newly enacted greenwashing provisions in Bill C‑59 after business concerns that the original wording chilled investment; the implementation bill would remove a requirement tying substantiation to “internationally recognized standards” and restrict private‑party access for certain claims. These developments underscore the legal risk of unsubstantiated environmental claims and the uneven international enforcement landscape. (Reference: US greenwashing cases, RJR defence, Canada Bill C‑59 adjustments.) </w:t>
      </w:r>
      <w:hyperlink r:id="rId9">
        <w:r>
          <w:rPr>
            <w:color w:val="0000EE"/>
            <w:u w:val="single"/>
          </w:rPr>
          <w:t>[1]</w:t>
        </w:r>
      </w:hyperlink>
      <w:r/>
    </w:p>
    <w:p>
      <w:r/>
      <w:r>
        <w:t xml:space="preserve">Regulatory action at state and national levels is producing both enforcement and suspension. A coalition of US state attorneys general flagged antitrust concerns around coordinated recycling standards; New York agreed to suspend implementation of its All‑Electric Buildings Act while litigation proceeds, delaying rules originally due to begin in January 2026; and the Albany County Supreme Court ordered New York’s DEC to promulgate CLCPA regulations by 6 February 2026, holding the agency to statutory timelines. Collectively, these actions illustrate simultaneous acceleration and retrenchment in subnational sustainability policy, complicating compliance planning for multisite operations. (Reference: State AG letters, NY AEBA suspension, CLCPA court order.) </w:t>
      </w:r>
      <w:hyperlink r:id="rId9">
        <w:r>
          <w:rPr>
            <w:color w:val="0000EE"/>
            <w:u w:val="single"/>
          </w:rPr>
          <w:t>[1]</w:t>
        </w:r>
      </w:hyperlink>
      <w:r/>
    </w:p>
    <w:p>
      <w:r/>
      <w:r>
        <w:t xml:space="preserve">Supply‑chain and product‑traceability standards are converging with trade and customs enforcement. ANSI/SEIA 101, a new American National Standard for traceability of solar supply chains, addresses evidentiary expectations driven by the Uyghur Forced Labor Prevention Act and reflects practical Customs experience; compliance with the standard does not guarantee UFLPA relief but provides a best‑practice framework. At EU level, Omnibus I negotiations consider streamlining CSRD, CSDDD, the EU Taxonomy and CBAM reporting while Member States and institutions debate delays and scope changes that would materially affect due diligence burdens on global value chains. Corporates exposed to cross‑border sourcing and renewable energy procurement should integrate traceability, audit readiness and legal thresholds into supplier management programmes. (Reference: ANSI/SEIA 101, Omnibus I and related EU reform debates.) </w:t>
      </w:r>
      <w:hyperlink r:id="rId9">
        <w:r>
          <w:rPr>
            <w:color w:val="0000EE"/>
            <w:u w:val="single"/>
          </w:rPr>
          <w:t>[1]</w:t>
        </w:r>
      </w:hyperlink>
      <w:r/>
    </w:p>
    <w:p>
      <w:r/>
      <w:r>
        <w:t xml:space="preserve">Energy, natural resources and technological developments present mixed signals for investors and corporates. The EPA’s proposal to end the Greenhouse Gas Reporting Program has drawn strong opposition from industry groups and bipartisan legislators citing operational, market and tax‑credit implications; public comment closed on 3 November. The US Interior Department announced leasing and rule changes to expand oil and gas activity in certain offshore and Arctic areas, while Canada’s Prime Minister announced fast‑track referrals for major energy and mining projects as part of a strategy to bolster domestic energy capacity. Separately, technology pilots such as France’s wireless charging highway and Australia’s CSIRO Carbon Dioxide Removal Roadmap highlight both near‑term fossil‑sector policy shifts and longer‑term investment in decarbonisation and carbon removal technologies. These contrasting policy signals reinforce the importance of scenario planning for capital allocation and operational risk. (Reference: EPA/GHGRP responses, Interior leasing, Canadian fast‑track projects, Electreon/CSIRO developments.) </w:t>
      </w:r>
      <w:hyperlink r:id="rId9">
        <w:r>
          <w:rPr>
            <w:color w:val="0000EE"/>
            <w:u w:val="single"/>
          </w:rPr>
          <w:t>[1]</w:t>
        </w:r>
      </w:hyperlink>
      <w:r/>
    </w:p>
    <w:p>
      <w:r/>
      <w:r>
        <w:t xml:space="preserve">Sustainable finance and market instruments are maturing. ICMA issued Climate Transition Bond Guidelines to support high‑emission issuers seeking transition capital; the EIB expanded global access to its Green Checker tool to help lenders and project sponsors assess green eligibility and expected emissions reductions; and the UK published its adaptation of the International Standard on Sustainability Assurance (UK) 5000. These initiatives will influence investor due diligence, deal structuring and the scope of assurance expectations across bond and lending markets. Firms seeking transition finance should align issuance frameworks with these evolving benchmarks to preserve market access and investor confidence. (Reference: ICMA, EIB Green Checker, UK assurance standard.) </w:t>
      </w:r>
      <w:hyperlink r:id="rId9">
        <w:r>
          <w:rPr>
            <w:color w:val="0000EE"/>
            <w:u w:val="single"/>
          </w:rPr>
          <w:t>[1]</w:t>
        </w:r>
      </w:hyperlink>
      <w:r/>
    </w:p>
    <w:p>
      <w:r/>
      <w:r>
        <w:t xml:space="preserve">A practical reporting calendar accompanies this update: notable near‑term deadlines include EU EUDR (large entities, 30 December 2025 unless delayed), California SB 253 proposed Scope 1–2 reporting (10 August 2026), multiple US state producer responsibility and recycling deadlines in 2026, Singapore SAF levy effective for tickets issued after 1 April 2026, and phased CSRD/CSDDD timetables through 2029. Industry data and government communications indicate that transitional enforcement and phased approaches are likely in several jurisdictions; nonetheless, companies should map obligations against corporate fiscal calendars and governance cycles now. (Reference: consolidated global calendar and key deadlines.)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(JD Supra , Horizon, co‑author Semhal Gebrekirstos) - Paragraph 1, Paragraph 2, Paragraph 3, Paragraph 4, Paragraph 5, Paragraph 6, Paragraph 7, Paragraph 8, Paragraph 9</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https://www.jdsupra.com/legalnews/horizon-news-and-trends-in-8885448/</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horizon-news-and-trends-in-8885448/"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