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Prudential Regulation Authority unveils transformative climate risk supervisory framework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 Prudential Regulation Authority has published a substantially revised supervisory framework for climate-related financial risks, signalling a step-change in expectations for banks and insurers on governance, risk management, scenario analysis, data and disclosures. According to the original report from the PRA, the new supervisory statement was issued in early December 2025 to replace the PRA’s 2019 guidance and to reflect developments in international standards and firms’ capabilities since then. The PRA’s accompanying policy statement summarises consultation responses and explains how the final approach was set.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updated guidance places particular emphasis on governance. Boards are expected to set climate risk appetite, periodically review and agree material climate-related risks, and oversee how executive management embeds those risks into strategy and decision-making. Executive responsibilities should be held at an appropriately senior level , for example by a Senior Management Function , and allocation of responsibility and information flows to the board must be clearly articulated. According to the PRA, firms should be able to demonstrate how their business strategy and risk management are responding to climate-related risks to the business model.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Risk management expectations require firms to identify material climate-related risks and integrate them into existing credit, market and operational risk frameworks rather than treating climate as a standalone silo. Firms must include material climate risks in their firm risk register and assess risks arising from relationships with clients, counterparties, investees and policyholders, focusing on those relationships that materially affect the firm’s climate risk profile. Industry commentators that responded to the consultation also urged integration into existing frameworks and warned against overly prescriptive, separate climate-specific processes.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Scenario analysis remains a core supervisory tool. The PRA expects firms to use climate scenario analysis to inform strategy and risk decisions, applying robust assumptions and methodologies and using results to shape strategic and capital planning. The guidance stresses that scenario work should be tailored to firms’ business models and that outputs must be backed by evidence. Industry groups called for proportionality and flexibility in scenario-design and reverse stress testing to reflect diverse business models.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Data, modelling and disclosure expectations have been strengthened. Firms must assess and document data quality and gaps, and produce plans to remedy shortcomings where further investment in data tools is needed. The PRA’s final policy statement makes clear that firms should not merely quantify gaps once and forget them but should maintain ongoing processes to understand and address data limitations. Disclosures should evolve to reflect a firm’s developing understanding of climate risks and align with international standards. Several advisory firms and the PRA itself highlight more granular, sector-specific requirements in the final texts. </w:t>
      </w:r>
      <w:hyperlink r:id="rId9">
        <w:r>
          <w:rPr>
            <w:color w:val="0000EE"/>
            <w:u w:val="single"/>
          </w:rPr>
          <w:t>[1]</w:t>
        </w:r>
      </w:hyperlink>
      <w:hyperlink r:id="rId10">
        <w:r>
          <w:rPr>
            <w:color w:val="0000EE"/>
            <w:u w:val="single"/>
          </w:rPr>
          <w:t>[2]</w:t>
        </w:r>
      </w:hyperlink>
      <w:hyperlink r:id="rId14">
        <w:r>
          <w:rPr>
            <w:color w:val="0000EE"/>
            <w:u w:val="single"/>
          </w:rPr>
          <w:t>[3]</w:t>
        </w:r>
      </w:hyperlink>
      <w:hyperlink r:id="rId11">
        <w:r>
          <w:rPr>
            <w:color w:val="0000EE"/>
            <w:u w:val="single"/>
          </w:rPr>
          <w:t>[6]</w:t>
        </w:r>
      </w:hyperlink>
      <w:r/>
    </w:p>
    <w:p>
      <w:r/>
      <w:r>
        <w:t xml:space="preserve">Proportionality is woven through the new framework: all firms must assess the potential impact of climate-related risks on their business model, and firms materially exposed to such risks must make greater investments in monitoring and management. The PRA expects firms to be able to evidence the judgements underpinning their materiality assessments and the choices made in their two-step proportionality process. Supervisors will treat climate risk management as part of routine supervision from 2026. The PRA indicated an initial bedding-in period and said it may begin requesting evidence of internal reviews after six months. </w:t>
      </w:r>
      <w:hyperlink r:id="rId9">
        <w:r>
          <w:rPr>
            <w:color w:val="0000EE"/>
            <w:u w:val="single"/>
          </w:rPr>
          <w:t>[1]</w:t>
        </w:r>
      </w:hyperlink>
      <w:hyperlink r:id="rId10">
        <w:r>
          <w:rPr>
            <w:color w:val="0000EE"/>
            <w:u w:val="single"/>
          </w:rPr>
          <w:t>[2]</w:t>
        </w:r>
      </w:hyperlink>
      <w:hyperlink r:id="rId14">
        <w:r>
          <w:rPr>
            <w:color w:val="0000EE"/>
            <w:u w:val="single"/>
          </w:rPr>
          <w:t>[3]</w:t>
        </w:r>
      </w:hyperlink>
      <w:hyperlink r:id="rId11">
        <w:r>
          <w:rPr>
            <w:color w:val="0000EE"/>
            <w:u w:val="single"/>
          </w:rPr>
          <w:t>[6]</w:t>
        </w:r>
      </w:hyperlink>
      <w:r/>
    </w:p>
    <w:p>
      <w:r/>
      <w:r>
        <w:t xml:space="preserve">Industry reaction to the final package reflects cautious support coupled with calls for continued flexibility. Trade bodies such as ISDA and the IIF broadly supported the PRA’s approach while warning against excessively prescriptive requirements and urging that expectations be adaptable for internationally active firms and diverse business models. Professional advisers also emphasised the need for firms to map gaps and develop remediation plans quickly given the relatively short implementation window set out by the PRA. </w:t>
      </w:r>
      <w:hyperlink r:id="rId12">
        <w:r>
          <w:rPr>
            <w:color w:val="0000EE"/>
            <w:u w:val="single"/>
          </w:rPr>
          <w:t>[4]</w:t>
        </w:r>
      </w:hyperlink>
      <w:hyperlink r:id="rId14">
        <w:r>
          <w:rPr>
            <w:color w:val="0000EE"/>
            <w:u w:val="single"/>
          </w:rPr>
          <w:t>[3]</w:t>
        </w:r>
      </w:hyperlink>
      <w:hyperlink r:id="rId13">
        <w:r>
          <w:rPr>
            <w:color w:val="0000EE"/>
            <w:u w:val="single"/>
          </w:rPr>
          <w:t>[5]</w:t>
        </w:r>
      </w:hyperlink>
      <w:r/>
    </w:p>
    <w:p>
      <w:r/>
      <w:r>
        <w:t xml:space="preserve">There is a minor discrepancy in how some commentators label the final supervisory statement. The PRA’s public pages refer to Supervisory Statement 5/25 and the policy statement dated early December 2025, while some advisory summaries refer to the replacement as SS4/25. Reporting on the final texts should therefore rely on the PRA’s own publications for authoritative citations; the policy statement and final supervisory statement set out the rules firms are expected to follow. Firms are advised to begin internal reviews immediately and to prepare evidence and remediation plans in line with the timelines the PRA has signalled. </w:t>
      </w:r>
      <w:hyperlink r:id="rId10">
        <w:r>
          <w:rPr>
            <w:color w:val="0000EE"/>
            <w:u w:val="single"/>
          </w:rPr>
          <w:t>[2]</w:t>
        </w:r>
      </w:hyperlink>
      <w:hyperlink r:id="rId11">
        <w:r>
          <w:rPr>
            <w:color w:val="0000EE"/>
            <w:u w:val="single"/>
          </w:rPr>
          <w:t>[6]</w:t>
        </w:r>
      </w:hyperlink>
      <w:hyperlink r:id="rId14">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(Linklaters Sustainable Futures) - Paragraph 1, Paragraph 2, Paragraph 3, Paragraph 4, Paragraph 5, Paragraph 6, Paragraph 8 </w:t>
      </w:r>
      <w:r/>
    </w:p>
    <w:p>
      <w:pPr>
        <w:pStyle w:val="ListBullet"/>
        <w:spacing w:line="240" w:lineRule="auto"/>
        <w:ind w:left="720"/>
      </w:pPr>
      <w:r/>
      <w:hyperlink r:id="rId10">
        <w:r>
          <w:rPr>
            <w:color w:val="0000EE"/>
            <w:u w:val="single"/>
          </w:rPr>
          <w:t>[2]</w:t>
        </w:r>
      </w:hyperlink>
      <w:r>
        <w:t xml:space="preserve"> (Bank of England / PRA publication) - Paragraph 1, Paragraph 2, Paragraph 4, Paragraph 6, Paragraph 8 </w:t>
      </w:r>
      <w:r/>
    </w:p>
    <w:p>
      <w:pPr>
        <w:pStyle w:val="ListBullet"/>
        <w:spacing w:line="240" w:lineRule="auto"/>
        <w:ind w:left="720"/>
      </w:pPr>
      <w:r/>
      <w:hyperlink r:id="rId11">
        <w:r>
          <w:rPr>
            <w:color w:val="0000EE"/>
            <w:u w:val="single"/>
          </w:rPr>
          <w:t>[6]</w:t>
        </w:r>
      </w:hyperlink>
      <w:r>
        <w:t xml:space="preserve"> (Bank of England / PRA policy statement) - Paragraph 1, Paragraph 2, Paragraph 5, Paragraph 6, Paragraph 8 </w:t>
      </w:r>
      <w:r/>
    </w:p>
    <w:p>
      <w:pPr>
        <w:pStyle w:val="ListBullet"/>
        <w:spacing w:line="240" w:lineRule="auto"/>
        <w:ind w:left="720"/>
      </w:pPr>
      <w:r/>
      <w:hyperlink r:id="rId14">
        <w:r>
          <w:rPr>
            <w:color w:val="0000EE"/>
            <w:u w:val="single"/>
          </w:rPr>
          <w:t>[3]</w:t>
        </w:r>
      </w:hyperlink>
      <w:r>
        <w:t xml:space="preserve"> (PwC UK) - Paragraph 5, Paragraph 6, Paragraph 8 </w:t>
      </w:r>
      <w:r/>
    </w:p>
    <w:p>
      <w:pPr>
        <w:pStyle w:val="ListBullet"/>
        <w:spacing w:line="240" w:lineRule="auto"/>
        <w:ind w:left="720"/>
      </w:pPr>
      <w:r/>
      <w:hyperlink r:id="rId12">
        <w:r>
          <w:rPr>
            <w:color w:val="0000EE"/>
            <w:u w:val="single"/>
          </w:rPr>
          <w:t>[4]</w:t>
        </w:r>
      </w:hyperlink>
      <w:r>
        <w:t xml:space="preserve"> (ISDA / IIF response) - Paragraph 3, Paragraph 7 </w:t>
      </w:r>
      <w:r/>
    </w:p>
    <w:p>
      <w:pPr>
        <w:pStyle w:val="ListBullet"/>
        <w:spacing w:line="240" w:lineRule="auto"/>
        <w:ind w:left="720"/>
      </w:pPr>
      <w:r/>
      <w:hyperlink r:id="rId13">
        <w:r>
          <w:rPr>
            <w:color w:val="0000EE"/>
            <w:u w:val="single"/>
          </w:rPr>
          <w:t>[5]</w:t>
        </w:r>
      </w:hyperlink>
      <w:r>
        <w:t xml:space="preserve"> (Grant Thornton) - Paragraph 3,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https://sustainablefutures.linklaters.com/post/102lxdz/uk-pras-new-supervisory-statement-detail-provided-to-banks-and-insurers-on-clim</w:t>
        </w:r>
      </w:hyperlink>
      <w:r>
        <w:t xml:space="preserve"> - Please view link - unable to able to access data</w:t>
      </w:r>
      <w:r/>
    </w:p>
    <w:p>
      <w:pPr>
        <w:pStyle w:val="ListNumber"/>
        <w:spacing w:line="240" w:lineRule="auto"/>
        <w:ind w:left="720"/>
      </w:pPr>
      <w:r/>
      <w:hyperlink r:id="rId10">
        <w:r>
          <w:rPr>
            <w:color w:val="0000EE"/>
            <w:u w:val="single"/>
          </w:rPr>
          <w:t>https://www.bankofengland.co.uk/prudential-regulation/publication/2025/december/enhancing-banks-and-insurers-approaches-to-managing-climate-related-risks-ss</w:t>
        </w:r>
      </w:hyperlink>
      <w:r>
        <w:t xml:space="preserve"> - The Bank of England's Prudential Regulation Authority (PRA) published Supervisory Statement 5/25 on 3 December 2025, outlining expectations for banks and insurers in managing climate-related risks. The statement aims to ensure firms build the necessary capabilities and resilience to effectively manage these risks, reflecting the evolving climate-related risk landscape. It covers supervisory expectations related to governance, risk management, climate scenario analysis, data, and disclosures, providing additional context for banking and insurance-specific issues. The approach is proportionate, practical, and aligns with international standards, emphasizing the need for firms to integrate climate-related risks into their governance and risk management frameworks.</w:t>
      </w:r>
      <w:r/>
    </w:p>
    <w:p>
      <w:pPr>
        <w:pStyle w:val="ListNumber"/>
        <w:spacing w:line="240" w:lineRule="auto"/>
        <w:ind w:left="720"/>
      </w:pPr>
      <w:r/>
      <w:hyperlink r:id="rId14">
        <w:r>
          <w:rPr>
            <w:color w:val="0000EE"/>
            <w:u w:val="single"/>
          </w:rPr>
          <w:t>https://www.pwc.co.uk/industries/financial-services/understanding-regulatory-developments/pra-sets-new-climate-risk-management-standard-for-banks-and-insurers.html</w:t>
        </w:r>
      </w:hyperlink>
      <w:r>
        <w:t xml:space="preserve"> - PwC UK discusses the PRA's final policy statement (PS25/25) and revised supervisory statement (SS4/25) issued on 3 December 2025, updating expectations for how firms manage climate-related financial risks. The new expectations retain the previous scope of SS3/19 but include significantly more detailed guidance on implementation across all existing pillars—governance, risk management, scenario analysis, data, and disclosures. The updated statement introduces strengthened and more explicit expectations on data and introduces sector-specific requirements. Firms are expected to assess gaps against their ability to comply with the new expectations within the next six months and develop plans to address any gaps.</w:t>
      </w:r>
      <w:r/>
    </w:p>
    <w:p>
      <w:pPr>
        <w:pStyle w:val="ListNumber"/>
        <w:spacing w:line="240" w:lineRule="auto"/>
        <w:ind w:left="720"/>
      </w:pPr>
      <w:r/>
      <w:hyperlink r:id="rId12">
        <w:r>
          <w:rPr>
            <w:color w:val="0000EE"/>
            <w:u w:val="single"/>
          </w:rPr>
          <w:t>https://www.isda.org/2025/07/31/isda-iif-responds-to-the-pra-consultation-cp10-25-on-enhancing-banks-and-insurers-approaches-to-managing-climate-related-risks/</w:t>
        </w:r>
      </w:hyperlink>
      <w:r>
        <w:t xml:space="preserve"> - The International Swaps and Derivatives Association (ISDA) and the Institute of International Finance (IIF) responded to the PRA's consultation (CP10/25) on enhancing banks' and insurers' approaches to managing climate-related risks. They broadly support the PRA's climate risk approach but warn against overly prescriptive or bespoke climate-specific requirements. A key theme in the industry response is integrating climate risk into existing risk frameworks rather than creating standalone processes. They also call for flexibility in governance, scenario analysis, reverse stress testing, and data expectations, especially to accommodate diverse business models and international firms.</w:t>
      </w:r>
      <w:r/>
    </w:p>
    <w:p>
      <w:pPr>
        <w:pStyle w:val="ListNumber"/>
        <w:spacing w:line="240" w:lineRule="auto"/>
        <w:ind w:left="720"/>
      </w:pPr>
      <w:r/>
      <w:hyperlink r:id="rId13">
        <w:r>
          <w:rPr>
            <w:color w:val="0000EE"/>
            <w:u w:val="single"/>
          </w:rPr>
          <w:t>https://www.grantthornton.co.uk/insights/the-pra-consults-on-climate-risk-management/</w:t>
        </w:r>
      </w:hyperlink>
      <w:r>
        <w:t xml:space="preserve"> - Grant Thornton discusses the PRA's consultation on climate risk management, highlighting that while the industry has made progress, further action is needed to identify and manage climate-related risks effectively. The PRA proposes stronger and more specific requirements than SS3/19, covering topics such as governance, risk management, scenario analysis, data, and disclosures. Firms are expected to embed climate-related risks into their strategy by aligning governance and decision-making processes with these risks, supported by more robust scenario analysis and a strengthened climate risk framework.</w:t>
      </w:r>
      <w:r/>
    </w:p>
    <w:p>
      <w:pPr>
        <w:pStyle w:val="ListNumber"/>
        <w:spacing w:line="240" w:lineRule="auto"/>
        <w:ind w:left="720"/>
      </w:pPr>
      <w:r/>
      <w:hyperlink r:id="rId11">
        <w:r>
          <w:rPr>
            <w:color w:val="0000EE"/>
            <w:u w:val="single"/>
          </w:rPr>
          <w:t>https://www.bankofengland.co.uk/prudential-regulation/publication/2025/december/enhancing-banks-and-insurers-approaches-to-managing-climate-related-risks-policy-statement</w:t>
        </w:r>
      </w:hyperlink>
      <w:r>
        <w:t xml:space="preserve"> - The Bank of England's Prudential Regulation Authority (PRA) published Policy Statement PS25/25 on 8 December 2025, updating its expectations for how firms manage climate-related financial risks. The policy statement summarises the feedback received in response to the consultation initiated through CP10/25, published in April 2025, and details the PRA's subsequent response. The new expectations retain the previous scope for SS3/19 but include significantly more detailed guidance on implementation, providing more granular guidance on implementation across all existing pillars—governance, risk management, scenario analysis, data, and disclosures. The updated statement also introduces strengthened and more explicit expectations on data and introduces sector-specific requirements.</w:t>
      </w:r>
      <w:r/>
    </w:p>
    <w:p>
      <w:pPr>
        <w:pStyle w:val="ListNumber"/>
        <w:spacing w:line="240" w:lineRule="auto"/>
        <w:ind w:left="720"/>
      </w:pPr>
      <w:r/>
      <w:hyperlink r:id="rId16">
        <w:r>
          <w:rPr>
            <w:color w:val="0000EE"/>
            <w:u w:val="single"/>
          </w:rPr>
          <w:t>https://www.pwc.co.uk/industries/financial-services/understanding-regulatory-developments/pra-proposes-higher-bar-for-managing-climate-risks.html</w:t>
        </w:r>
      </w:hyperlink>
      <w:r>
        <w:t xml:space="preserve"> - PwC UK discusses the PRA's proposed higher bar for managing climate risks, highlighting that while the industry has made progress, further action is needed to identify and manage climate-related risks effectively. The PRA proposes stronger and more specific requirements than SS3/19, covering topics such as governance, risk management, scenario analysis, data, and disclosures. Firms are expected to embed climate-related risks into their strategy by aligning governance and decision-making processes with these risks, supported by more robust scenario analysis and a strengthened climate risk framework.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stainablefutures.linklaters.com/post/102lxdz/uk-pras-new-supervisory-statement-detail-provided-to-banks-and-insurers-on-clim" TargetMode="External"/><Relationship Id="rId10" Type="http://schemas.openxmlformats.org/officeDocument/2006/relationships/hyperlink" Target="https://www.bankofengland.co.uk/prudential-regulation/publication/2025/december/enhancing-banks-and-insurers-approaches-to-managing-climate-related-risks-ss" TargetMode="External"/><Relationship Id="rId11" Type="http://schemas.openxmlformats.org/officeDocument/2006/relationships/hyperlink" Target="https://www.bankofengland.co.uk/prudential-regulation/publication/2025/december/enhancing-banks-and-insurers-approaches-to-managing-climate-related-risks-policy-statement" TargetMode="External"/><Relationship Id="rId12" Type="http://schemas.openxmlformats.org/officeDocument/2006/relationships/hyperlink" Target="https://www.isda.org/2025/07/31/isda-iif-responds-to-the-pra-consultation-cp10-25-on-enhancing-banks-and-insurers-approaches-to-managing-climate-related-risks/" TargetMode="External"/><Relationship Id="rId13" Type="http://schemas.openxmlformats.org/officeDocument/2006/relationships/hyperlink" Target="https://www.grantthornton.co.uk/insights/the-pra-consults-on-climate-risk-management/" TargetMode="External"/><Relationship Id="rId14" Type="http://schemas.openxmlformats.org/officeDocument/2006/relationships/hyperlink" Target="https://www.pwc.co.uk/industries/financial-services/understanding-regulatory-developments/pra-sets-new-climate-risk-management-standard-for-banks-and-insurers.html" TargetMode="External"/><Relationship Id="rId15" Type="http://schemas.openxmlformats.org/officeDocument/2006/relationships/hyperlink" Target="https://www.noahwire.com" TargetMode="External"/><Relationship Id="rId16" Type="http://schemas.openxmlformats.org/officeDocument/2006/relationships/hyperlink" Target="https://www.pwc.co.uk/industries/financial-services/understanding-regulatory-developments/pra-proposes-higher-bar-for-managing-climate-ris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