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Webinar blending financial education and marketing raises caution over deregulation strategy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As a one‑hour, CE‑credit approved webinar scheduled for TODAY at 12 PM EST, the session promises financial professionals a focused briefing on deregulation’s effects across healthcare, finance and energy while offering one hour of continuing education credit. According to the original report, the event presents itself as an educational deep dive , not a sales pitch , and will examine how The Free Markets ETF (FMKT) "capitalizes on these trends" and how advisers might apply those ideas in client portfolios. </w:t>
      </w:r>
      <w:hyperlink r:id="rId9">
        <w:r>
          <w:rPr>
            <w:color w:val="0000EE"/>
            <w:u w:val="single"/>
          </w:rPr>
          <w:t>[1]</w:t>
        </w:r>
      </w:hyperlink>
      <w:r/>
    </w:p>
    <w:p>
      <w:r/>
      <w:r>
        <w:t xml:space="preserve">The promotional material includes extensive risk disclosures and fund details that underscore the educational , and commercially connected , nature of the offering. The prospectus language reproduced in the announcement highlights wide-ranging risks: equity market volatility, the uncertainties of a deregulatory investment strategy, higher expenses and tax consequences from potential high portfolio turnover, and specific exposures tied to underlying ETFs and digital‑asset ETPs such as Bitcoin and Ether. The company claims TRM will act as a sub‑adviser but the announcement also notes TRM is a newly registered adviser and the Free Markets ETF itself is a recently organised fund with no operating history. Investors are reminded to read the prospectus carefully and consider investment objectives, risks, charges and expenses before investing. </w:t>
      </w:r>
      <w:hyperlink r:id="rId9">
        <w:r>
          <w:rPr>
            <w:color w:val="0000EE"/>
            <w:u w:val="single"/>
          </w:rPr>
          <w:t>[1]</w:t>
        </w:r>
      </w:hyperlink>
      <w:r/>
    </w:p>
    <w:p>
      <w:r/>
      <w:r>
        <w:t xml:space="preserve">Placed in the broader context of professional learning, the webinar fits a common industry pattern: trade bodies and asset managers increasingly offer live and on‑demand webinars that combine market analysis with CE or CPE credit. Industry programmes range from national membership organisations that provide annual learning passes and on‑demand libraries to asset managers and specialist firms that issue one‑hour CE credits after completion and assessment. According to membership organisations and providers, these offerings are designed to help advisers meet certification requirements while staying current on market, regulatory and practice‑management topics.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p>
    <w:p>
      <w:r/>
      <w:r>
        <w:t xml:space="preserve">Free or low‑cost vendor webinars are also widespread in related financial sectors. Community banking trainers and compliance specialists run sessions aimed at regulatory readiness and data management that often carry CE credit for participants; similarly, associations for student‑financial‑aid and government accounting professionals provide livestreamed or recorded webinars for recertification points or CPE hours. These parallel examples illustrate how firms and associations use webinars both to educate and to maintain professional credentials across specialisms. </w:t>
      </w:r>
      <w:hyperlink r:id="rId13">
        <w:r>
          <w:rPr>
            <w:color w:val="0000EE"/>
            <w:u w:val="single"/>
          </w:rPr>
          <w:t>[3]</w:t>
        </w:r>
      </w:hyperlink>
      <w:r>
        <w:t xml:space="preserve"> </w:t>
      </w:r>
      <w:hyperlink r:id="rId14">
        <w:r>
          <w:rPr>
            <w:color w:val="0000EE"/>
            <w:u w:val="single"/>
          </w:rPr>
          <w:t>[6]</w:t>
        </w:r>
      </w:hyperlink>
      <w:r>
        <w:t xml:space="preserve"> </w:t>
      </w:r>
      <w:hyperlink r:id="rId15">
        <w:r>
          <w:rPr>
            <w:color w:val="0000EE"/>
            <w:u w:val="single"/>
          </w:rPr>
          <w:t>[7]</w:t>
        </w:r>
      </w:hyperlink>
      <w:r/>
    </w:p>
    <w:p>
      <w:r/>
      <w:r>
        <w:t xml:space="preserve">Editorially, readers should note the dual role such events play: they are educational vehicles that simultaneously raise awareness of a fund’s strategy and, in many cases, support its distribution. The lead announcement couches the material as impartial education, but the inclusion of detailed fund disclaimers and marketing language about FMKT’s strategy signals a commercial motive alongside the CE benefit. Prudence requires advisers to treat the webinar as a source of market perspective while independently vetting the fund’s prospectus and considering whether the deregulatory theme and associated risks suit client mandates. </w:t>
      </w:r>
      <w:hyperlink r:id="rId9">
        <w:r>
          <w:rPr>
            <w:color w:val="0000EE"/>
            <w:u w:val="single"/>
          </w:rPr>
          <w:t>[1]</w:t>
        </w:r>
      </w:hyperlink>
      <w:r/>
    </w:p>
    <w:p>
      <w:r/>
      <w:r>
        <w:t xml:space="preserve">For practitioners seeking CE credit, the market offers many pathways beyond vendor‑sponsored webinars , from professional associations’ live and on‑demand courses to large asset managers’ hosted sessions that include post‑webinar quizzes for credit. Industry data shows these options vary in pricing, accreditation and delivery format; advisers should confirm the specific accreditation accepted by their certifying body before relying on a single session to meet mandatory hours. The original announcement supplies registration details and contact numbers for the fund but, as with any investment‑linked educational event, the onus remains on professionals to corroborate the educational value and to weigh the fund’s documented risks against client objectives.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(Lead Lag Report / promotional announcement) - Paragraph 1, Paragraph 2, Paragraph 5, Paragraph 6 </w:t>
      </w:r>
      <w:r/>
    </w:p>
    <w:p>
      <w:pPr>
        <w:pStyle w:val="ListBullet"/>
        <w:spacing w:line="240" w:lineRule="auto"/>
        <w:ind w:left="720"/>
      </w:pPr>
      <w:r/>
      <w:hyperlink r:id="rId10">
        <w:r>
          <w:rPr>
            <w:color w:val="0000EE"/>
            <w:u w:val="single"/>
          </w:rPr>
          <w:t>[2]</w:t>
        </w:r>
      </w:hyperlink>
      <w:r>
        <w:t xml:space="preserve"> (NAPFA) - Paragraph 3, Paragraph 6 </w:t>
      </w:r>
      <w:r/>
    </w:p>
    <w:p>
      <w:pPr>
        <w:pStyle w:val="ListBullet"/>
        <w:spacing w:line="240" w:lineRule="auto"/>
        <w:ind w:left="720"/>
      </w:pPr>
      <w:r/>
      <w:hyperlink r:id="rId13">
        <w:r>
          <w:rPr>
            <w:color w:val="0000EE"/>
            <w:u w:val="single"/>
          </w:rPr>
          <w:t>[3]</w:t>
        </w:r>
      </w:hyperlink>
      <w:r>
        <w:t xml:space="preserve"> (Kadince) - Paragraph 4 </w:t>
      </w:r>
      <w:r/>
    </w:p>
    <w:p>
      <w:pPr>
        <w:pStyle w:val="ListBullet"/>
        <w:spacing w:line="240" w:lineRule="auto"/>
        <w:ind w:left="720"/>
      </w:pPr>
      <w:r/>
      <w:hyperlink r:id="rId11">
        <w:r>
          <w:rPr>
            <w:color w:val="0000EE"/>
            <w:u w:val="single"/>
          </w:rPr>
          <w:t>[4]</w:t>
        </w:r>
      </w:hyperlink>
      <w:r>
        <w:t xml:space="preserve"> (PIMCO) - Paragraph 3, Paragraph 6 </w:t>
      </w:r>
      <w:r/>
    </w:p>
    <w:p>
      <w:pPr>
        <w:pStyle w:val="ListBullet"/>
        <w:spacing w:line="240" w:lineRule="auto"/>
        <w:ind w:left="720"/>
      </w:pPr>
      <w:r/>
      <w:hyperlink r:id="rId12">
        <w:r>
          <w:rPr>
            <w:color w:val="0000EE"/>
            <w:u w:val="single"/>
          </w:rPr>
          <w:t>[5]</w:t>
        </w:r>
      </w:hyperlink>
      <w:r>
        <w:t xml:space="preserve"> (Financial Planning Association) - Paragraph 3, Paragraph 6 </w:t>
      </w:r>
      <w:r/>
    </w:p>
    <w:p>
      <w:pPr>
        <w:pStyle w:val="ListBullet"/>
        <w:spacing w:line="240" w:lineRule="auto"/>
        <w:ind w:left="720"/>
      </w:pPr>
      <w:r/>
      <w:hyperlink r:id="rId14">
        <w:r>
          <w:rPr>
            <w:color w:val="0000EE"/>
            <w:u w:val="single"/>
          </w:rPr>
          <w:t>[6]</w:t>
        </w:r>
      </w:hyperlink>
      <w:r>
        <w:t xml:space="preserve"> (NASFAA) - Paragraph 4 </w:t>
      </w:r>
      <w:r/>
    </w:p>
    <w:p>
      <w:pPr>
        <w:pStyle w:val="ListBullet"/>
        <w:spacing w:line="240" w:lineRule="auto"/>
        <w:ind w:left="720"/>
      </w:pPr>
      <w:r/>
      <w:hyperlink r:id="rId15">
        <w:r>
          <w:rPr>
            <w:color w:val="0000EE"/>
            <w:u w:val="single"/>
          </w:rPr>
          <w:t>[7]</w:t>
        </w:r>
      </w:hyperlink>
      <w:r>
        <w:t xml:space="preserve"> (Association of Government Accountants)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https://www.leadlagreport.com/p/at-12pm-est-today-earn-ce-credit</w:t>
        </w:r>
      </w:hyperlink>
      <w:r>
        <w:t xml:space="preserve"> - Please view link - unable to able to access data</w:t>
      </w:r>
      <w:r/>
    </w:p>
    <w:p>
      <w:pPr>
        <w:pStyle w:val="ListNumber"/>
        <w:spacing w:line="240" w:lineRule="auto"/>
        <w:ind w:left="720"/>
      </w:pPr>
      <w:r/>
      <w:hyperlink r:id="rId10">
        <w:r>
          <w:rPr>
            <w:color w:val="0000EE"/>
            <w:u w:val="single"/>
          </w:rPr>
          <w:t>https://www.napfa.org/member-resources/virtual-learning</w:t>
        </w:r>
      </w:hyperlink>
      <w:r>
        <w:t xml:space="preserve"> - The National Association of Personal Financial Advisors (NAPFA) offers a comprehensive Learning Center that hosts live webinars, on-demand courses, and podcasts. These resources are designed to help financial professionals improve client service and build business success. The Annual Learning Pass provides access to all live webinars for one year, a 10% discount on NAPFA events, and on-demand access if the live event is missed. This initiative supports continuing education requirements for financial advisors.</w:t>
      </w:r>
      <w:r/>
    </w:p>
    <w:p>
      <w:pPr>
        <w:pStyle w:val="ListNumber"/>
        <w:spacing w:line="240" w:lineRule="auto"/>
        <w:ind w:left="720"/>
      </w:pPr>
      <w:r/>
      <w:hyperlink r:id="rId13">
        <w:r>
          <w:rPr>
            <w:color w:val="0000EE"/>
            <w:u w:val="single"/>
          </w:rPr>
          <w:t>https://kadince.com/webinars</w:t>
        </w:r>
      </w:hyperlink>
      <w:r>
        <w:t xml:space="preserve"> - Kadince provides free, expert-led training tailored for banking professionals through their webinars. These sessions cover topics such as compliance, marketing, the Community Reinvestment Act (CRA), and community involvement. The webinars are designed to help professionals stay ahead with actionable knowledge and can also offer Continuing Education (CE) credits. Upcoming events include sessions on preparing for CRA exams and managing CRA data, with CE credits available for participants.</w:t>
      </w:r>
      <w:r/>
    </w:p>
    <w:p>
      <w:pPr>
        <w:pStyle w:val="ListNumber"/>
        <w:spacing w:line="240" w:lineRule="auto"/>
        <w:ind w:left="720"/>
      </w:pPr>
      <w:r/>
      <w:hyperlink r:id="rId11">
        <w:r>
          <w:rPr>
            <w:color w:val="0000EE"/>
            <w:u w:val="single"/>
          </w:rPr>
          <w:t>https://www.pimco.com/us/en/resources/continuing-education</w:t>
        </w:r>
      </w:hyperlink>
      <w:r>
        <w:t xml:space="preserve"> - PIMCO offers a range of on-demand classes covering economic and market conditions, practice management topics, and client engagement strategies. These classes are designed to help financial professionals expand their knowledge and meet continuing education requirements. Advisors can register to watch a webinar and then complete a quiz to earn one hour of CE credit for various certifications, including IWI, CFP, and CPA.</w:t>
      </w:r>
      <w:r/>
    </w:p>
    <w:p>
      <w:pPr>
        <w:pStyle w:val="ListNumber"/>
        <w:spacing w:line="240" w:lineRule="auto"/>
        <w:ind w:left="720"/>
      </w:pPr>
      <w:r/>
      <w:hyperlink r:id="rId12">
        <w:r>
          <w:rPr>
            <w:color w:val="0000EE"/>
            <w:u w:val="single"/>
          </w:rPr>
          <w:t>https://www.financialplanningassociation.org/learn/continuing-education</w:t>
        </w:r>
      </w:hyperlink>
      <w:r>
        <w:t xml:space="preserve"> - The Financial Planning Association (FPA) provides access to live webinars, on-demand programs, and learning opportunities from top industry leaders. More than half of their online programs offer CE credit for CFP Professionals and include courses that fulfill the 2-hour professional conduct requirement. Through FPA resources, CFP Professional members can easily meet and exceed continuing education requirements, with featured webinars covering topics like business development planning metrics for growth.</w:t>
      </w:r>
      <w:r/>
    </w:p>
    <w:p>
      <w:pPr>
        <w:pStyle w:val="ListNumber"/>
        <w:spacing w:line="240" w:lineRule="auto"/>
        <w:ind w:left="720"/>
      </w:pPr>
      <w:r/>
      <w:hyperlink r:id="rId14">
        <w:r>
          <w:rPr>
            <w:color w:val="0000EE"/>
            <w:u w:val="single"/>
          </w:rPr>
          <w:t>https://www.nasfaa.org/webinars_live_and_on_demand</w:t>
        </w:r>
      </w:hyperlink>
      <w:r>
        <w:t xml:space="preserve"> - The National Association of Student Financial Aid Administrators (NASFAA) offers continuing education through livestreamed webinars and recorded sessions available on-demand. Presentations typically range from 60 to 90 minutes, with live Q&amp;A sessions. FAACs can earn one recertification point for most webinars. Closed captioning is available within the webinar platform, and the webinars cover a variety of topics relevant to financial aid professionals.</w:t>
      </w:r>
      <w:r/>
    </w:p>
    <w:p>
      <w:pPr>
        <w:pStyle w:val="ListNumber"/>
        <w:spacing w:line="240" w:lineRule="auto"/>
        <w:ind w:left="720"/>
      </w:pPr>
      <w:r/>
      <w:hyperlink r:id="rId15">
        <w:r>
          <w:rPr>
            <w:color w:val="0000EE"/>
            <w:u w:val="single"/>
          </w:rPr>
          <w:t>https://chapters.agacgfm.org/Webinars.aspx.html</w:t>
        </w:r>
      </w:hyperlink>
      <w:r>
        <w:t xml:space="preserve"> - The Association of Government Accountants (AGA) offers webinars that provide Continuing Professional Education (CPE) hours. These webinars are generally offered twice monthly on Wednesdays and feature experts speaking on emergent issues in auditing, ethics, governmental accounting, internal controls, and performance. Individual webinars are priced at $59 for AGA members and $99 for non-members, with group registration options available for organizations.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adlagreport.com/p/at-12pm-est-today-earn-ce-credit" TargetMode="External"/><Relationship Id="rId10" Type="http://schemas.openxmlformats.org/officeDocument/2006/relationships/hyperlink" Target="https://www.napfa.org/member-resources/virtual-learning" TargetMode="External"/><Relationship Id="rId11" Type="http://schemas.openxmlformats.org/officeDocument/2006/relationships/hyperlink" Target="https://www.pimco.com/us/en/resources/continuing-education" TargetMode="External"/><Relationship Id="rId12" Type="http://schemas.openxmlformats.org/officeDocument/2006/relationships/hyperlink" Target="https://www.financialplanningassociation.org/learn/continuing-education" TargetMode="External"/><Relationship Id="rId13" Type="http://schemas.openxmlformats.org/officeDocument/2006/relationships/hyperlink" Target="https://kadince.com/webinars" TargetMode="External"/><Relationship Id="rId14" Type="http://schemas.openxmlformats.org/officeDocument/2006/relationships/hyperlink" Target="https://www.nasfaa.org/webinars_live_and_on_demand" TargetMode="External"/><Relationship Id="rId15" Type="http://schemas.openxmlformats.org/officeDocument/2006/relationships/hyperlink" Target="https://chapters.agacgfm.org/Webinars.aspx.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