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deployment accelerates in 2025, exposing infrastructure and financial stresses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2025 closed as a year of practical deployment rather than promise, as businesses across Asia-Pacific and beyond translated AI’s theoretical potential into operational systems that generate measurable value. According to the original report, organisations moved AI into back‑office automation, product development and operational monitoring, even as investment shifted from pilots to large‑scale, agentic deployments that demand clear service‑level objectives and lifecycle governance. </w:t>
      </w:r>
      <w:hyperlink r:id="rId9">
        <w:r>
          <w:rPr>
            <w:color w:val="0000EE"/>
            <w:u w:val="single"/>
          </w:rPr>
          <w:t>[1]</w:t>
        </w:r>
      </w:hyperlink>
      <w:r/>
    </w:p>
    <w:p>
      <w:r/>
      <w:r>
        <w:t xml:space="preserve">That acceleration exposed persistent infrastructure and supply challenges. Industry voices pointed to surging demand for compute, rising data‑centre power densities, and cooling constraints that have made traditional air cooling inadequate for the new generation of high‑density racks. Vendors and data‑centre operators are increasingly adopting liquid and hybrid cooling and redesigning power and sustainability strategies to keep pace. Government and industry data show that scalability, sustainability and resilience must be advanced in parallel. </w:t>
      </w:r>
      <w:hyperlink r:id="rId9">
        <w:r>
          <w:rPr>
            <w:color w:val="0000EE"/>
            <w:u w:val="single"/>
          </w:rPr>
          <w:t>[1]</w:t>
        </w:r>
      </w:hyperlink>
      <w:r/>
    </w:p>
    <w:p>
      <w:r/>
      <w:r>
        <w:t xml:space="preserve">The AI buildout is also creating new financial and market stresses. Analysts warn that a rapid expansion in data‑centre capacity, fueled both by hyperscalers and by smaller “neo‑cloud” tenants that lease GPU clusters, relies heavily on long‑dated leases and cheap financing; tightening credit or tenant distress could choke off supply and disrupt the infrastructure on which AI depends. The greatest near‑term risk is not demand but financing and tenant creditworthiness. </w:t>
      </w:r>
      <w:hyperlink r:id="rId10">
        <w:r>
          <w:rPr>
            <w:color w:val="0000EE"/>
            <w:u w:val="single"/>
          </w:rPr>
          <w:t>[4]</w:t>
        </w:r>
      </w:hyperlink>
      <w:r/>
    </w:p>
    <w:p>
      <w:r/>
      <w:r>
        <w:t xml:space="preserve">Geopolitics and sovereignty further complicated procurement and architecture choices. Firms emphasised data residency, diversified cloud provider strategies and semiconductor access as strategic imperatives, while hyperscalers and major vendors announced large regional commitments to bolster local cloud and AI infrastructure. Microsoft’s record $17.5 billion investment in India and similar hub pledges underline how cloud giants are racing to anchor capacity, skills and sovereign capabilities in key markets. </w:t>
      </w:r>
      <w:hyperlink r:id="rId11">
        <w:r>
          <w:rPr>
            <w:color w:val="0000EE"/>
            <w:u w:val="single"/>
          </w:rPr>
          <w:t>[2]</w:t>
        </w:r>
      </w:hyperlink>
      <w:hyperlink r:id="rId9">
        <w:r>
          <w:rPr>
            <w:color w:val="0000EE"/>
            <w:u w:val="single"/>
          </w:rPr>
          <w:t>[1]</w:t>
        </w:r>
      </w:hyperlink>
      <w:r/>
    </w:p>
    <w:p>
      <w:r/>
      <w:r>
        <w:t xml:space="preserve">Security has moved to the centre of the debate as attackers harness the same AI toolset as defenders. Industry leaders have emphasised improved threat detection and automated remediation over legacy perimeter controls, while cybersecurity firms are expanding regional footprints and specialised offerings to counter Shadow AI and sophisticated bot traffic. Recent consolidation and major acquisitions in the sector reflect a push to scale identity, detection and response capabilities as enterprises face higher volumes of AI‑enabled attacks. </w:t>
      </w:r>
      <w:hyperlink r:id="rId12">
        <w:r>
          <w:rPr>
            <w:color w:val="0000EE"/>
            <w:u w:val="single"/>
          </w:rPr>
          <w:t>[3]</w:t>
        </w:r>
      </w:hyperlink>
      <w:hyperlink r:id="rId13">
        <w:r>
          <w:rPr>
            <w:color w:val="0000EE"/>
            <w:u w:val="single"/>
          </w:rPr>
          <w:t>[6]</w:t>
        </w:r>
      </w:hyperlink>
      <w:hyperlink r:id="rId14">
        <w:r>
          <w:rPr>
            <w:color w:val="0000EE"/>
            <w:u w:val="single"/>
          </w:rPr>
          <w:t>[7]</w:t>
        </w:r>
      </w:hyperlink>
      <w:hyperlink r:id="rId9">
        <w:r>
          <w:rPr>
            <w:color w:val="0000EE"/>
            <w:u w:val="single"/>
          </w:rPr>
          <w:t>[1]</w:t>
        </w:r>
      </w:hyperlink>
      <w:r/>
    </w:p>
    <w:p>
      <w:r/>
      <w:r>
        <w:t xml:space="preserve">Organisational readiness emerged as the bottleneck, not the technology itself. Executives reported skills gaps, weak governance, fragmented data and unclear success criteria as the main reasons many AI projects under‑delivered. Research cited in the report shows that firms which reframe governance, workforce upskilling and operational models around AI are outperforming peers; for CIOs, “optionality” and architecture flexibility became strategic priorities. </w:t>
      </w:r>
      <w:hyperlink r:id="rId9">
        <w:r>
          <w:rPr>
            <w:color w:val="0000EE"/>
            <w:u w:val="single"/>
          </w:rPr>
          <w:t>[1]</w:t>
        </w:r>
      </w:hyperlink>
      <w:r/>
    </w:p>
    <w:p>
      <w:r/>
      <w:r>
        <w:t xml:space="preserve">Practical engineering disciplines, observability, data curation and lifecycle control, are now prerequisites for production AI. Observability platforms that map service dependencies and model behaviour have replaced static CMDBs in some organisations, enabling faster diagnostics and safer agentic deployments. The consensus is that intelligent observability and data infrastructure investment convert AI from an experimental cost into a measurable value driver. </w:t>
      </w:r>
      <w:hyperlink r:id="rId9">
        <w:r>
          <w:rPr>
            <w:color w:val="0000EE"/>
            <w:u w:val="single"/>
          </w:rPr>
          <w:t>[1]</w:t>
        </w:r>
      </w:hyperlink>
      <w:r/>
    </w:p>
    <w:p>
      <w:r/>
      <w:r>
        <w:t xml:space="preserve">Market watchers warned about a possible short‑term normalization of AI investment, an expected correction in a frothy segment, but said any slowdown would likely be temporary as corporate adoption and infrastructure capacity converge. That view, together with concerns over supply‑chain tightness and labour market mismatches, suggests a period of consolidation followed by renewed momentum once the ecosystem catches up. </w:t>
      </w:r>
      <w:hyperlink r:id="rId15">
        <w:r>
          <w:rPr>
            <w:color w:val="0000EE"/>
            <w:u w:val="single"/>
          </w:rPr>
          <w:t>[5]</w:t>
        </w:r>
      </w:hyperlink>
      <w:hyperlink r:id="rId9">
        <w:r>
          <w:rPr>
            <w:color w:val="0000EE"/>
            <w:u w:val="single"/>
          </w:rPr>
          <w:t>[1]</w:t>
        </w:r>
      </w:hyperlink>
      <w:r/>
    </w:p>
    <w:p>
      <w:r/>
      <w:r>
        <w:t xml:space="preserve">Looking to 2026, the narrative is clear: AI will expand where infrastructure, finance, skills and governance align. Enterprises that pair human judgement with automated systems, invest in integrated data platforms, and prioritise resilient, sovereign and sustainable infrastructure will capture disproportionate advantage. At the same time, the balance of risk and reward will hinge on strengthening cyber defences, securing predictable financing for data‑centre builds, and embedding safety and privacy into operational practice. </w:t>
      </w:r>
      <w:hyperlink r:id="rId9">
        <w:r>
          <w:rPr>
            <w:color w:val="0000EE"/>
            <w:u w:val="single"/>
          </w:rPr>
          <w:t>[1]</w:t>
        </w:r>
      </w:hyperlink>
      <w:hyperlink r:id="rId10">
        <w:r>
          <w:rPr>
            <w:color w:val="0000EE"/>
            <w:u w:val="single"/>
          </w:rPr>
          <w:t>[4]</w:t>
        </w:r>
      </w:hyperlink>
      <w:hyperlink r:id="rId12">
        <w:r>
          <w:rPr>
            <w:color w:val="0000EE"/>
            <w:u w:val="single"/>
          </w:rPr>
          <w:t>[3]</w:t>
        </w:r>
      </w:hyperlink>
      <w:hyperlink r:id="rId13">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(iTNews Asia) - Paragraph 1, Paragraph 2, Paragraph 6, Paragraph 7, Paragraph 9 </w:t>
      </w:r>
      <w:r/>
    </w:p>
    <w:p>
      <w:pPr>
        <w:pStyle w:val="ListBullet"/>
        <w:spacing w:line="240" w:lineRule="auto"/>
        <w:ind w:left="720"/>
      </w:pPr>
      <w:r/>
      <w:hyperlink r:id="rId10">
        <w:r>
          <w:rPr>
            <w:color w:val="0000EE"/>
            <w:u w:val="single"/>
          </w:rPr>
          <w:t>[4]</w:t>
        </w:r>
      </w:hyperlink>
      <w:r>
        <w:t xml:space="preserve"> (Reuters) - Paragraph 3, Paragraph 9 </w:t>
      </w:r>
      <w:r/>
    </w:p>
    <w:p>
      <w:pPr>
        <w:pStyle w:val="ListBullet"/>
        <w:spacing w:line="240" w:lineRule="auto"/>
        <w:ind w:left="720"/>
      </w:pPr>
      <w:r/>
      <w:hyperlink r:id="rId11">
        <w:r>
          <w:rPr>
            <w:color w:val="0000EE"/>
            <w:u w:val="single"/>
          </w:rPr>
          <w:t>[2]</w:t>
        </w:r>
      </w:hyperlink>
      <w:r>
        <w:t xml:space="preserve"> (AP News) - Paragraph 4 </w:t>
      </w:r>
      <w:r/>
    </w:p>
    <w:p>
      <w:pPr>
        <w:pStyle w:val="ListBullet"/>
        <w:spacing w:line="240" w:lineRule="auto"/>
        <w:ind w:left="720"/>
      </w:pPr>
      <w:r/>
      <w:hyperlink r:id="rId12">
        <w:r>
          <w:rPr>
            <w:color w:val="0000EE"/>
            <w:u w:val="single"/>
          </w:rPr>
          <w:t>[3]</w:t>
        </w:r>
      </w:hyperlink>
      <w:r>
        <w:t xml:space="preserve"> (Axios) - Paragraph 5, Paragraph 9 </w:t>
      </w:r>
      <w:r/>
    </w:p>
    <w:p>
      <w:pPr>
        <w:pStyle w:val="ListBullet"/>
        <w:spacing w:line="240" w:lineRule="auto"/>
        <w:ind w:left="720"/>
      </w:pPr>
      <w:r/>
      <w:hyperlink r:id="rId13">
        <w:r>
          <w:rPr>
            <w:color w:val="0000EE"/>
            <w:u w:val="single"/>
          </w:rPr>
          <w:t>[6]</w:t>
        </w:r>
      </w:hyperlink>
      <w:r>
        <w:t xml:space="preserve"> (GlobeNewswire / Mimecast press release) - Paragraph 5, Paragraph 9 </w:t>
      </w:r>
      <w:r/>
    </w:p>
    <w:p>
      <w:pPr>
        <w:pStyle w:val="ListBullet"/>
        <w:spacing w:line="240" w:lineRule="auto"/>
        <w:ind w:left="720"/>
      </w:pPr>
      <w:r/>
      <w:hyperlink r:id="rId14">
        <w:r>
          <w:rPr>
            <w:color w:val="0000EE"/>
            <w:u w:val="single"/>
          </w:rPr>
          <w:t>[7]</w:t>
        </w:r>
      </w:hyperlink>
      <w:r>
        <w:t xml:space="preserve"> (ITPro) - Paragraph 5, Paragraph 9 </w:t>
      </w:r>
      <w:r/>
    </w:p>
    <w:p>
      <w:pPr>
        <w:pStyle w:val="ListBullet"/>
        <w:spacing w:line="240" w:lineRule="auto"/>
        <w:ind w:left="720"/>
      </w:pPr>
      <w:r/>
      <w:hyperlink r:id="rId15">
        <w:r>
          <w:rPr>
            <w:color w:val="0000EE"/>
            <w:u w:val="single"/>
          </w:rPr>
          <w:t>[5]</w:t>
        </w:r>
      </w:hyperlink>
      <w:r>
        <w:t xml:space="preserve"> (Reuters)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https://www.itnews.asia/news/whats-going-to-drive-tech-innovation-and-change-in-2026-622534</w:t>
        </w:r>
      </w:hyperlink>
      <w:r>
        <w:t xml:space="preserve"> - Please view link - unable to able to access data</w:t>
      </w:r>
      <w:r/>
    </w:p>
    <w:p>
      <w:pPr>
        <w:pStyle w:val="ListNumber"/>
        <w:spacing w:line="240" w:lineRule="auto"/>
        <w:ind w:left="720"/>
      </w:pPr>
      <w:r/>
      <w:hyperlink r:id="rId11">
        <w:r>
          <w:rPr>
            <w:color w:val="0000EE"/>
            <w:u w:val="single"/>
          </w:rPr>
          <w:t>https://apnews.com/article/e1d0f47dea566488236bdd2c9dd577ed</w:t>
        </w:r>
      </w:hyperlink>
      <w:r>
        <w:t xml:space="preserve"> - Microsoft has announced a record-breaking investment of $17.5 billion in India over the next four years to boost the nation's cloud and artificial intelligence infrastructure. This marks the tech giant's largest-ever investment in Asia. CEO Satya Nadella revealed the plan during his visit to India, where he met with Prime Minister Narendra Modi and emphasized the goal of enhancing India’s infrastructure, skills, and sovereign capabilities in AI. The move highlights the competitive drive among global tech companies to deepen their presence in India’s rapidly expanding digital market. The investment includes expanding Microsoft’s cloud and data center capacity, with a new hyperscale data center expected to go live in mid-2026. Microsoft, which employs over 22,000 people in India, aims to scale up its operations significantly. This commitment follows a prior $3 billion investment plan announced earlier in the year. The announcement coincides with India’s broader ambitions to become a global leader in AI and semiconductor manufacturing, aided by government incentives. Microsoft’s announcement comes shortly after Google pledged $15 billion to set up an AI hub in Visakhapatnam, reflecting growing tech interest in India.</w:t>
      </w:r>
      <w:r/>
    </w:p>
    <w:p>
      <w:pPr>
        <w:pStyle w:val="ListNumber"/>
        <w:spacing w:line="240" w:lineRule="auto"/>
        <w:ind w:left="720"/>
      </w:pPr>
      <w:r/>
      <w:hyperlink r:id="rId12">
        <w:r>
          <w:rPr>
            <w:color w:val="0000EE"/>
            <w:u w:val="single"/>
          </w:rPr>
          <w:t>https://www.axios.com/2025/12/04/nikesh-arora-ai-cybersecurity-trends</w:t>
        </w:r>
      </w:hyperlink>
      <w:r>
        <w:t xml:space="preserve"> - At the Axios AI+ Summit in San Francisco, Palo Alto Networks CEO Nikesh Arora highlighted the increasing need for improved threat detection and remediation strategies in the face of evolving AI-driven cyber threats. As artificial intelligence systems rely heavily on vast amounts of personal data, they present appealing targets for attackers who are also leveraging AI to enhance their hacking efforts. Arora emphasized that organizations should prioritize detecting and addressing threats over simply reinforcing outdated protection methods. Palo Alto Networks, a leading cybersecurity firm serving over 70,000 clients, recently reinforced its AI capabilities by acquiring Israeli identity security leader CyberArk in a $25 billion deal. This acquisition reflects the growing recognition across the tech industry of the urgent need to scale cybersecurity measures alongside rapid AI expansion.</w:t>
      </w:r>
      <w:r/>
    </w:p>
    <w:p>
      <w:pPr>
        <w:pStyle w:val="ListNumber"/>
        <w:spacing w:line="240" w:lineRule="auto"/>
        <w:ind w:left="720"/>
      </w:pPr>
      <w:r/>
      <w:hyperlink r:id="rId10">
        <w:r>
          <w:rPr>
            <w:color w:val="0000EE"/>
            <w:u w:val="single"/>
          </w:rPr>
          <w:t>https://www.reuters.com/commentary/breakingviews/shaky-data-centre-tenants-could-choke-off-ai-boom-2025-12-10/</w:t>
        </w:r>
      </w:hyperlink>
      <w:r>
        <w:t xml:space="preserve"> - The global AI boom is driving a rapid expansion in data centre construction, with analysts projecting a sixfold increase in capacity by 2035 requiring over $3 trillion in investment by 2028. While cloud giants like Microsoft, Amazon, and Google are fueling much of this growth thanks to strong finances, a significant portion is also coming from smaller, riskier neo-cloud firms like CoreWeave and Nebius. These companies fill leased data centers with GPU clusters and rent them out to AI startups and tech groups. However, their weaker credit standings present financial risks for data center developers who depend on long-dated leases and debt-heavy financing structures. Shifts in interest rates, tenant creditworthiness, and future facility valuations can greatly impact returns. Applied Digital’s 15-year lease deal with CoreWeave, for example, is financially viable under optimistic assumptions, but even moderate changes in interest or capitalization rates significantly reduce investment returns. Rising credit-default swap spreads signal growing market concern. Developers rely on continued access to cheap financing, but delays, tenant distress, and investor wariness could drive up borrowing costs, potentially disrupting the data center buildout crucial to sustaining AI infrastructure growth. The greatest risk to the AI infrastructure boom is not demand, but tightening credit conditions.</w:t>
      </w:r>
      <w:r/>
    </w:p>
    <w:p>
      <w:pPr>
        <w:pStyle w:val="ListNumber"/>
        <w:spacing w:line="240" w:lineRule="auto"/>
        <w:ind w:left="720"/>
      </w:pPr>
      <w:r/>
      <w:hyperlink r:id="rId15">
        <w:r>
          <w:rPr>
            <w:color w:val="0000EE"/>
            <w:u w:val="single"/>
          </w:rPr>
          <w:t>https://www.reuters.com/world/asia-pacific/ai-bubble-be-short-lived-rebound-stronger-ntt-data-chief-says-2025-12-05/</w:t>
        </w:r>
      </w:hyperlink>
      <w:r>
        <w:t xml:space="preserve"> - NTT DATA Inc. CEO Abhijit Dubey predicts that the current surge in artificial intelligence (AI) investments may result in a short-lived bubble, but one that will quickly rebound with stronger momentum as corporate adoption aligns with infrastructure capabilities. In a Reuters Global Markets Forum interview, Dubey emphasized AI as a long-term transformative force, despite short-term normalization over the next year. He noted persistent supply chain constraints and increased pricing power for chipmakers and hyperscalers due to overwhelming demand. Dubey, who also serves as NTT DATA’s Chief AI Officer, acknowledged that AI is reshaping labor markets, prompting the company to reassess hiring strategies while continuing to hire globally. He expects job market disruptions in the 5- to 25-year horizon. Meanwhile, other industry leaders at the Reuters NEXT conference highlighted concerns, such as reduced headcount growth and a mismatch between AI hype and daily use. A PwC survey echoed this disparity, noting lower-than-expected generative AI usage among workers and a widening skills gap, though employees with AI skills are earning substantially higher wages.</w:t>
      </w:r>
      <w:r/>
    </w:p>
    <w:p>
      <w:pPr>
        <w:pStyle w:val="ListNumber"/>
        <w:spacing w:line="240" w:lineRule="auto"/>
        <w:ind w:left="720"/>
      </w:pPr>
      <w:r/>
      <w:hyperlink r:id="rId13">
        <w:r>
          <w:rPr>
            <w:color w:val="0000EE"/>
            <w:u w:val="single"/>
          </w:rPr>
          <w:t>https://www.globenewswire.com/news-release/2025/12/10/3203027/0/en/Mimecast-Expands-APAC-Investment-to-Accelerate-Human-Risk-Management-Growth.html</w:t>
        </w:r>
      </w:hyperlink>
      <w:r>
        <w:t xml:space="preserve"> - Mimecast, a global leader in cybersecurity, has announced significant new investments in Singapore to further the company’s presence in the Asia-Pacific (APAC) region. This includes a new ASEAN regional HQ and an upcoming data center to offer advanced threat protection, data sovereignty, and AI innovation to organizations across the region. As part of this expansion, Nicky Choo has been appointed to Vice President and General Manager, leading Mimecast’s APAC operations, go-to-market and customer success. The Asia-Pacific region accounts for 25% of the global cybersecurity market, according to the Cyber Security Market Outlook. As the fastest-growing market worldwide, AI is seeing unprecedented demand fueled by rapid digital transformation, the rise of cloud-based services, and increasingly advanced cyber threats. Opening our regional HQ and forthcoming data center in Singapore, plus welcoming Nicky to lead APAC, are pivotal steps in our global growth strategy, said Marc van Zadelhoff, CEO, Mimecast. APAC organizations are operating at the forefront of AI adoption and digital transformation - and face an equally rapid evolution in data loss and cybersecurity threats. Strengthening our local presence enables us to build region-specific innovations and deliver a world-class platform for reducing human risk. Mimecast has appointed Nicky Choo as Vice President and General Manager for APAC. In this pivotal role, Choo will sit in Singapore and lead regional strategy, operations and growth. Mimecast has a strong foundation in region with its Australia and New Zealand HQ in Melbourne and the expanding team ASEAN. Choo will build on this momentum and spearhead Mimecast’s ongoing geographic expansion. With a proven track record of helping secure some of the world’s leading brands against cyber threats, Choo is well-positioned to advance Mimecast’s mission in the region. I’m incredibly excited to join Mimecast at this pivotal time for the cybersecurity industry, said Choo. Organizations across APAC are facing relentless, novel AI-driven attacks. The stakes have never been higher, and only the right security infrastructure can truly keep businesses safe. Mimecast’s platform is strongly positioned to leverage AI against these threats. Together, with our distribution partners, we’re ready to set a new standard for trust and security in the region. Protection From, For and By AI Mimecast’s 2025 Global Threat Intelligence Report highlights a dramatic shift in the cyber threat landscape. In particular, Shadow AI is emerging as a significant risk, with 86% of security leaders concerned about sensitive data leaking through generative AI tools. To counter these evolving threats, Mimecast has developed advanced AI-powered solutions that help organizations minimize human risk and enhance threat detection. This includes Mimecast Insider Risk Management, which is designed to safeguard organizations from Shadow AI by protecting critical data from exposure, loss, leak and theft. The solution leverages advanced detection methods to rapidly spot potential data leaks and provide real-time alerts. Mimecast also plans to launch a fully managed data center in Singapore. Built on top of AWS’s secure cloud infrastructure, the new data center will benefit from the scale and dependability of AWS, while ensuring local customers can meet strict local data residency requirements including Singapore’s Personal Data Protection Act. In today’s environment, data sovereignty is more than a regulatory obligation, it’s a cornerstone of trust and security. By ensuring sensitive information remains within national borders and under local control, Mimecast’s new data center will give organizations the confidence that their data infrastructure is both secure and compliant. Mimecast’s growth in the APAC region is anchored by its AI Lab in India, where a team of 150 engineers is dedicated to building an innovative, AI-driven platform that protects customers worldwide from advanced AI-enabled attacks. This expanding team not only strengthens Mimecast’s technical foundation but also sets the stage for continued regional growth and innovation. Visit the Mimecast careers page to join the growing team in APAC and learn more about the Human Risk Management Platform here. About Mimecast Mimecast is a global cybersecurity leader redefining how organizations secure human risk. Its AI-powered, API-enabled connected human risk platform is purpose-built to protect organizations from the spectrum of cyber threats. Integrating cutting-edge technology with human-centric pathways, our platform provides enhanced visibility and strategic insight. By enabling decisive action and empowering businesses to protect their collaborative environments, our technology safeguards critical data and actively engages employees in reducing risk and enhancing productivity. More than 42,000 businesses worldwide trust Mimecast to help them keep ahead of the ever-evolving threat landscape. From insider risk to external threats, customers get more with Mimecast. More visibility. More agility. More control. More security. Mimecast and the Mimecast logo are either registered trademarks or trademarks of Mimecast Services Limited in the United States and/or other countries. All other third-party trademarks and logos contained in this press release are the property of their respective owners. The use of the word ‘partner’ does not imply a partnership relationship between Mimecast and any other company. Press Contacts Tim Hamilton Director - Public Relations Management +1 603-918-6757 thamilton@mimecast.com General inquires press@mimecast.com A photo accompanying this announcement is available at https://www.globenewswire.com/NewsRoom/AttachmentNg/776f999f-e252-4f6c-a221-043b89c924d7</w:t>
      </w:r>
      <w:r/>
    </w:p>
    <w:p>
      <w:pPr>
        <w:pStyle w:val="ListNumber"/>
        <w:spacing w:line="240" w:lineRule="auto"/>
        <w:ind w:left="720"/>
      </w:pPr>
      <w:r/>
      <w:hyperlink r:id="rId14">
        <w:r>
          <w:rPr>
            <w:color w:val="0000EE"/>
            <w:u w:val="single"/>
          </w:rPr>
          <w:t>https://www.itpro.com/business/business-strategy/proofpoint-targets-further-expansion-with-cork-investment-new-ai-innovation-center</w:t>
        </w:r>
      </w:hyperlink>
      <w:r>
        <w:t xml:space="preserve"> - Proofpoint, a cybersecurity vendor, has announced a significant expansion of its international presence in Cork, Ireland, with the introduction of a new AI Innovation Centre. This initiative, supported by IDA Ireland, is part of Proofpoint’s international growth strategy and aims to bolster AI capabilities, particularly in data security and large language models (LLMs). The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tnews.asia/news/whats-going-to-drive-tech-innovation-and-change-in-2026-622534" TargetMode="External"/><Relationship Id="rId10" Type="http://schemas.openxmlformats.org/officeDocument/2006/relationships/hyperlink" Target="https://www.reuters.com/commentary/breakingviews/shaky-data-centre-tenants-could-choke-off-ai-boom-2025-12-10/" TargetMode="External"/><Relationship Id="rId11" Type="http://schemas.openxmlformats.org/officeDocument/2006/relationships/hyperlink" Target="https://apnews.com/article/e1d0f47dea566488236bdd2c9dd577ed" TargetMode="External"/><Relationship Id="rId12" Type="http://schemas.openxmlformats.org/officeDocument/2006/relationships/hyperlink" Target="https://www.axios.com/2025/12/04/nikesh-arora-ai-cybersecurity-trends" TargetMode="External"/><Relationship Id="rId13" Type="http://schemas.openxmlformats.org/officeDocument/2006/relationships/hyperlink" Target="https://www.globenewswire.com/news-release/2025/12/10/3203027/0/en/Mimecast-Expands-APAC-Investment-to-Accelerate-Human-Risk-Management-Growth.html" TargetMode="External"/><Relationship Id="rId14" Type="http://schemas.openxmlformats.org/officeDocument/2006/relationships/hyperlink" Target="https://www.itpro.com/business/business-strategy/proofpoint-targets-further-expansion-with-cork-investment-new-ai-innovation-center" TargetMode="External"/><Relationship Id="rId15" Type="http://schemas.openxmlformats.org/officeDocument/2006/relationships/hyperlink" Target="https://www.reuters.com/world/asia-pacific/ai-bubble-be-short-lived-rebound-stronger-ntt-data-chief-says-2025-12-0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