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health systems embrace real-time monitoring, predictive analytics and interoperability to revolutionise patient 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AI-driven health information management systems (HIMS) are rapidly shifting from back-office efficiency tools into real‑time clinical and operational platforms as they are integrated with Internet of Things (IoT) sensors, consumer wearables and advanced predictive analytics. According to the original report, these systems use machine learning to ingest large, heterogeneous datasets , electronic health records, lab results, device telemetry and patient‑generated data , to speed diagnosis, personalise treatment plans and automate routine administrative tasks such as scheduling, billing and compliance checks. </w:t>
      </w:r>
      <w:hyperlink r:id="rId9">
        <w:r>
          <w:rPr>
            <w:color w:val="0000EE"/>
            <w:u w:val="single"/>
          </w:rPr>
          <w:t>[1]</w:t>
        </w:r>
      </w:hyperlink>
      <w:r/>
    </w:p>
    <w:p>
      <w:r/>
      <w:r>
        <w:t xml:space="preserve">A defining trend is continuous monitoring through wearables and ambient sensors. The lead article notes that smartwatches and medical sensors stream heart rate, glucose proxies, blood pressure and activity data into HIMS; academic work corroborates that such real‑time feeds can detect subtle physiological deviations and deliver clinically relevant alerts. Recent research introducing "AI on the Pulse" showed a deployed anomaly‑detection pipeline that autonomously models each patient’s normal patterns and outperformed multiple state‑of‑the‑art methods across both consumer and clinical devices, demonstrating high‑quality monitoring need not rely exclusively on clinical‑grade hardware. This enhances remote care for chronic conditions and strengthens telehealth for rural and underserved populations. </w:t>
      </w:r>
      <w:hyperlink r:id="rId9">
        <w:r>
          <w:rPr>
            <w:color w:val="0000EE"/>
            <w:u w:val="single"/>
          </w:rPr>
          <w:t>[1]</w:t>
        </w:r>
      </w:hyperlink>
      <w:hyperlink r:id="rId10">
        <w:r>
          <w:rPr>
            <w:color w:val="0000EE"/>
            <w:u w:val="single"/>
          </w:rPr>
          <w:t>[2]</w:t>
        </w:r>
      </w:hyperlink>
      <w:hyperlink r:id="rId11">
        <w:r>
          <w:rPr>
            <w:color w:val="0000EE"/>
            <w:u w:val="single"/>
          </w:rPr>
          <w:t>[5]</w:t>
        </w:r>
      </w:hyperlink>
      <w:hyperlink r:id="rId12">
        <w:r>
          <w:rPr>
            <w:color w:val="0000EE"/>
            <w:u w:val="single"/>
          </w:rPr>
          <w:t>[6]</w:t>
        </w:r>
      </w:hyperlink>
      <w:r/>
    </w:p>
    <w:p>
      <w:r/>
      <w:r>
        <w:t xml:space="preserve">Beyond detection, predictive analytics are being positioned as the engine for personalised, anticipatory care. The lead article explains how models trained on longitudinal records, genomics and real‑time device streams can forecast disease trajectories, treatment side effects and readmission risk, enabling clinicians to prioritise interventions. Industry and academic studies show predictive tools also aid operational planning , forecasting patient volumes, bed occupancy and staffing needs , which reduces costs and improves throughput when integrated into management workflows. </w:t>
      </w:r>
      <w:hyperlink r:id="rId9">
        <w:r>
          <w:rPr>
            <w:color w:val="0000EE"/>
            <w:u w:val="single"/>
          </w:rPr>
          <w:t>[1]</w:t>
        </w:r>
      </w:hyperlink>
      <w:hyperlink r:id="rId10">
        <w:r>
          <w:rPr>
            <w:color w:val="0000EE"/>
            <w:u w:val="single"/>
          </w:rPr>
          <w:t>[2]</w:t>
        </w:r>
      </w:hyperlink>
      <w:hyperlink r:id="rId13">
        <w:r>
          <w:rPr>
            <w:color w:val="0000EE"/>
            <w:u w:val="single"/>
          </w:rPr>
          <w:t>[7]</w:t>
        </w:r>
      </w:hyperlink>
      <w:r/>
    </w:p>
    <w:p>
      <w:r/>
      <w:r>
        <w:t xml:space="preserve">Workflow automation remains a central, tangible benefit for practice managers and IT teams. The original report details AI applications that automate appointment scheduling, claims adjudication and compliance auditing; these reduce avoidable administrative burden and accelerate revenue cycles. Research and field deployments indicate automation also supports triage and lead qualification by routing patients to appropriate specialists based on multimodal inputs, freeing clinicians to focus on higher‑value care. </w:t>
      </w:r>
      <w:hyperlink r:id="rId9">
        <w:r>
          <w:rPr>
            <w:color w:val="0000EE"/>
            <w:u w:val="single"/>
          </w:rPr>
          <w:t>[1]</w:t>
        </w:r>
      </w:hyperlink>
      <w:hyperlink r:id="rId13">
        <w:r>
          <w:rPr>
            <w:color w:val="0000EE"/>
            <w:u w:val="single"/>
          </w:rPr>
          <w:t>[7]</w:t>
        </w:r>
      </w:hyperlink>
      <w:r/>
    </w:p>
    <w:p>
      <w:r/>
      <w:r>
        <w:t xml:space="preserve">Security, privacy and regulatory compliance are critical constraints driving design choices. The lead article stresses encryption, access controls and staff training; more recent technical work proposes concrete architectures that enforce privacy while preserving utility , for example, a HIPAA‑compliant agentic AI framework that combines attribute‑based access control, PHI sanitisation pipelines and immutable audit trails to minimise leakage and enable verifiable compliance. Those mechanisms are increasingly important as device ecosystems expand attack surfaces and as continuous monitoring generates highly sensitive streams of personal data. </w:t>
      </w:r>
      <w:hyperlink r:id="rId9">
        <w:r>
          <w:rPr>
            <w:color w:val="0000EE"/>
            <w:u w:val="single"/>
          </w:rPr>
          <w:t>[1]</w:t>
        </w:r>
      </w:hyperlink>
      <w:hyperlink r:id="rId14">
        <w:r>
          <w:rPr>
            <w:color w:val="0000EE"/>
            <w:u w:val="single"/>
          </w:rPr>
          <w:t>[3]</w:t>
        </w:r>
      </w:hyperlink>
      <w:r/>
    </w:p>
    <w:p>
      <w:r/>
      <w:r>
        <w:t xml:space="preserve">Interoperability and data integrity are additional practical hurdles. Projects such as BlockIoT demonstrate blockchain and distributed file systems can help consolidate fragmented device data into electronic health records and produce resilient, auditable records for clinicians. At the same time, participatory design studies suggest clinicians value enriched device data when it is presented in standardised, actionable templates that integrate with existing workflows rather than as isolated feeds. </w:t>
      </w:r>
      <w:hyperlink r:id="rId15">
        <w:r>
          <w:rPr>
            <w:color w:val="0000EE"/>
            <w:u w:val="single"/>
          </w:rPr>
          <w:t>[4]</w:t>
        </w:r>
      </w:hyperlink>
      <w:hyperlink r:id="rId9">
        <w:r>
          <w:rPr>
            <w:color w:val="0000EE"/>
            <w:u w:val="single"/>
          </w:rPr>
          <w:t>[1]</w:t>
        </w:r>
      </w:hyperlink>
      <w:r/>
    </w:p>
    <w:p>
      <w:r/>
      <w:r>
        <w:t xml:space="preserve">New multimodal systems extend functionality beyond vitals: research prototypes like REMONI and other studies have combined accelerometry, video, emotion and language models to detect falls, assess activity and surface contextual summaries for clinicians, reducing false alarms and caregiver workload. Integrating large language models with anomaly detectors also shows promise for translating algorithmic scores into human‑readable rationale, improving clinician trust and triage decisions , though such capabilities heighten the need for robust guardrails and explainability. </w:t>
      </w:r>
      <w:hyperlink r:id="rId11">
        <w:r>
          <w:rPr>
            <w:color w:val="0000EE"/>
            <w:u w:val="single"/>
          </w:rPr>
          <w:t>[5]</w:t>
        </w:r>
      </w:hyperlink>
      <w:hyperlink r:id="rId10">
        <w:r>
          <w:rPr>
            <w:color w:val="0000EE"/>
            <w:u w:val="single"/>
          </w:rPr>
          <w:t>[2]</w:t>
        </w:r>
      </w:hyperlink>
      <w:hyperlink r:id="rId12">
        <w:r>
          <w:rPr>
            <w:color w:val="0000EE"/>
            <w:u w:val="single"/>
          </w:rPr>
          <w:t>[6]</w:t>
        </w:r>
      </w:hyperlink>
      <w:r/>
    </w:p>
    <w:p>
      <w:r/>
      <w:r>
        <w:t xml:space="preserve">For U.S. medical practice administrators and IT managers, successful adoption requires deliberate planning: a needs assessment, selection of vendors experienced in healthcare regulation, phased rollouts, comprehensive staff training and sustained cybersecurity investment. The lead article highlights Simbo AI as an example of a front‑office automation vendor; the company claims its AI‑powered phone and answering services reduce wait times and help qualify leads while integrating with broader HIMS ecosystems. Healthcare leaders should treat vendor assertions with editorial distance, validate regulatory compliance and demand interoperable, auditable integrations that protect patient privacy while delivering measurable clinical and operational gains.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(Simbo.ai blog) - Paragraph 1, Paragraph 2, Paragraph 3, Paragraph 4, Paragraph 5, Paragraph 6, Paragraph 8 </w:t>
      </w:r>
      <w:r/>
    </w:p>
    <w:p>
      <w:pPr>
        <w:pStyle w:val="ListBullet"/>
        <w:spacing w:line="240" w:lineRule="auto"/>
        <w:ind w:left="720"/>
      </w:pPr>
      <w:r/>
      <w:hyperlink r:id="rId10">
        <w:r>
          <w:rPr>
            <w:color w:val="0000EE"/>
            <w:u w:val="single"/>
          </w:rPr>
          <w:t>[2]</w:t>
        </w:r>
      </w:hyperlink>
      <w:r>
        <w:t xml:space="preserve"> (arXiv: "AI on the Pulse") - Paragraph 2, Paragraph 7 </w:t>
      </w:r>
      <w:r/>
    </w:p>
    <w:p>
      <w:pPr>
        <w:pStyle w:val="ListBullet"/>
        <w:spacing w:line="240" w:lineRule="auto"/>
        <w:ind w:left="720"/>
      </w:pPr>
      <w:r/>
      <w:hyperlink r:id="rId14">
        <w:r>
          <w:rPr>
            <w:color w:val="0000EE"/>
            <w:u w:val="single"/>
          </w:rPr>
          <w:t>[3]</w:t>
        </w:r>
      </w:hyperlink>
      <w:r>
        <w:t xml:space="preserve"> (arXiv: HIPAA‑compliant agentic AI framework) - Paragraph 5 </w:t>
      </w:r>
      <w:r/>
    </w:p>
    <w:p>
      <w:pPr>
        <w:pStyle w:val="ListBullet"/>
        <w:spacing w:line="240" w:lineRule="auto"/>
        <w:ind w:left="720"/>
      </w:pPr>
      <w:r/>
      <w:hyperlink r:id="rId15">
        <w:r>
          <w:rPr>
            <w:color w:val="0000EE"/>
            <w:u w:val="single"/>
          </w:rPr>
          <w:t>[4]</w:t>
        </w:r>
      </w:hyperlink>
      <w:r>
        <w:t xml:space="preserve"> (arXiv: BlockIoT) - Paragraph 6 </w:t>
      </w:r>
      <w:r/>
    </w:p>
    <w:p>
      <w:pPr>
        <w:pStyle w:val="ListBullet"/>
        <w:spacing w:line="240" w:lineRule="auto"/>
        <w:ind w:left="720"/>
      </w:pPr>
      <w:r/>
      <w:hyperlink r:id="rId11">
        <w:r>
          <w:rPr>
            <w:color w:val="0000EE"/>
            <w:u w:val="single"/>
          </w:rPr>
          <w:t>[5]</w:t>
        </w:r>
      </w:hyperlink>
      <w:r>
        <w:t xml:space="preserve"> (arXiv: REMONI) - Paragraph 2, Paragraph 7 </w:t>
      </w:r>
      <w:r/>
    </w:p>
    <w:p>
      <w:pPr>
        <w:pStyle w:val="ListBullet"/>
        <w:spacing w:line="240" w:lineRule="auto"/>
        <w:ind w:left="720"/>
      </w:pPr>
      <w:r/>
      <w:hyperlink r:id="rId12">
        <w:r>
          <w:rPr>
            <w:color w:val="0000EE"/>
            <w:u w:val="single"/>
          </w:rPr>
          <w:t>[6]</w:t>
        </w:r>
      </w:hyperlink>
      <w:r>
        <w:t xml:space="preserve"> (MDPI Applied Sciences) - Paragraph 2, Paragraph 7 </w:t>
      </w:r>
      <w:r/>
    </w:p>
    <w:p>
      <w:pPr>
        <w:pStyle w:val="ListBullet"/>
        <w:spacing w:line="240" w:lineRule="auto"/>
        <w:ind w:left="720"/>
      </w:pPr>
      <w:r/>
      <w:hyperlink r:id="rId13">
        <w:r>
          <w:rPr>
            <w:color w:val="0000EE"/>
            <w:u w:val="single"/>
          </w:rPr>
          <w:t>[7]</w:t>
        </w:r>
      </w:hyperlink>
      <w:r>
        <w:t xml:space="preserve"> (IJMSPHR) - Paragraph 3,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https://www.simbo.ai/blog/future-trends-of-ai-driven-health-information-management-systems-integration-with-iot-wearables-and-advanced-predictive-analytics-in-patient-care-3789165/</w:t>
        </w:r>
      </w:hyperlink>
      <w:r>
        <w:t xml:space="preserve"> - Please view link - unable to able to access data</w:t>
      </w:r>
      <w:r/>
    </w:p>
    <w:p>
      <w:pPr>
        <w:pStyle w:val="ListNumber"/>
        <w:spacing w:line="240" w:lineRule="auto"/>
        <w:ind w:left="720"/>
      </w:pPr>
      <w:r/>
      <w:hyperlink r:id="rId10">
        <w:r>
          <w:rPr>
            <w:color w:val="0000EE"/>
            <w:u w:val="single"/>
          </w:rPr>
          <w:t>https://arxiv.org/abs/2508.03436</w:t>
        </w:r>
      </w:hyperlink>
      <w:r>
        <w:t xml:space="preserve"> - This study introduces 'AI on the Pulse', a real-time health anomaly detection system that integrates wearable sensors, ambient intelligence, and advanced AI models. The system autonomously learns each patient's unique physiological and behavioural patterns, detecting subtle deviations that signal potential health risks. It outperforms 12 state-of-the-art anomaly detection methods, demonstrating robustness across both high-fidelity medical devices and consumer wearables. The system has been successfully deployed for continuous, real-world patient monitoring, proving that high-quality health monitoring is possible without clinical-grade equipment. Additionally, it enhances interpretability by integrating large language models, translating anomaly scores into clinically meaningful insights for healthcare professionals.</w:t>
      </w:r>
      <w:r/>
    </w:p>
    <w:p>
      <w:pPr>
        <w:pStyle w:val="ListNumber"/>
        <w:spacing w:line="240" w:lineRule="auto"/>
        <w:ind w:left="720"/>
      </w:pPr>
      <w:r/>
      <w:hyperlink r:id="rId14">
        <w:r>
          <w:rPr>
            <w:color w:val="0000EE"/>
            <w:u w:val="single"/>
          </w:rPr>
          <w:t>https://arxiv.org/abs/2504.17669</w:t>
        </w:r>
      </w:hyperlink>
      <w:r>
        <w:t xml:space="preserve"> - This paper presents a HIPAA-compliant agentic AI framework designed to autonomously analyse sensitive healthcare data and execute decisions with minimal human oversight. The framework enforces regulatory compliance through dynamic, context-aware policy enforcement, integrating three core mechanisms: Attribute-Based Access Control (ABAC) for granular Protected Health Information (PHI) governance, a hybrid PHI sanitisation pipeline combining regex patterns and BERT-based models to minimise data leakage, and immutable audit trails for compliance verification. This approach ensures that AI systems in healthcare adhere to stringent privacy and security standards, safeguarding patient information while leveraging AI capabilities.</w:t>
      </w:r>
      <w:r/>
    </w:p>
    <w:p>
      <w:pPr>
        <w:pStyle w:val="ListNumber"/>
        <w:spacing w:line="240" w:lineRule="auto"/>
        <w:ind w:left="720"/>
      </w:pPr>
      <w:r/>
      <w:hyperlink r:id="rId15">
        <w:r>
          <w:rPr>
            <w:color w:val="0000EE"/>
            <w:u w:val="single"/>
          </w:rPr>
          <w:t>https://arxiv.org/abs/2110.10123</w:t>
        </w:r>
      </w:hyperlink>
      <w:r>
        <w:t xml:space="preserve"> - The 'BlockIoT' project introduces a blockchain-based health data integration system using IoT devices. It addresses the fragmentation of health data among various infrastructures by transferring previously inaccessible and centralised data from medical devices to Electronic Health Record (EHR) systems. This integration provides healthcare providers with greater insight, leading to improved patient outcomes. The system employs an Application Programming Interface (API) as a versatile endpoint for incoming medical device data, a distributed file system ensuring data resilience, and knowledge templates that analyse, identify, and represent medical device data to providers. A participatory design survey demonstrates that BlockIoT is suitable for supplementing physicians' clinical practice and increases efficiency across various healthcare specialties, including cardiology, pulmonology, endocrinology, and primary care.</w:t>
      </w:r>
      <w:r/>
    </w:p>
    <w:p>
      <w:pPr>
        <w:pStyle w:val="ListNumber"/>
        <w:spacing w:line="240" w:lineRule="auto"/>
        <w:ind w:left="720"/>
      </w:pPr>
      <w:r/>
      <w:hyperlink r:id="rId11">
        <w:r>
          <w:rPr>
            <w:color w:val="0000EE"/>
            <w:u w:val="single"/>
          </w:rPr>
          <w:t>https://arxiv.org/abs/2510.21445</w:t>
        </w:r>
      </w:hyperlink>
      <w:r>
        <w:t xml:space="preserve"> - The 'REMONI' system is an autonomous remote health monitoring solution that integrates wearable devices, multimodal large language models (MLLMs), and the Internet of Things (IoT). It continuously collects vital signs, accelerometer data from wearables, and visual data from patient video clips. This data is processed by an anomaly detection module, which includes fall detection models and algorithms to identify and alert caregivers of the patient's emergency conditions. A distinctive feature of REMONI is its natural language processing component, developed with MLLMs capable of detecting and recognising a patient's activity and emotion while responding to healthcare workers' inquiries. The system has been implemented and tested, demonstrating its scalability and potential to reduce the workload of medical professionals and healthcare costs.</w:t>
      </w:r>
      <w:r/>
    </w:p>
    <w:p>
      <w:pPr>
        <w:pStyle w:val="ListNumber"/>
        <w:spacing w:line="240" w:lineRule="auto"/>
        <w:ind w:left="720"/>
      </w:pPr>
      <w:r/>
      <w:hyperlink r:id="rId12">
        <w:r>
          <w:rPr>
            <w:color w:val="0000EE"/>
            <w:u w:val="single"/>
          </w:rPr>
          <w:t>https://www.mdpi.com/2076-3417/15/8/4400</w:t>
        </w:r>
      </w:hyperlink>
      <w:r>
        <w:t xml:space="preserve"> - This study explores the effectiveness of integrating IoT-based wearable devices, AI facial recognition, and data visualisation tools in supporting remote health monitoring and emotional profiling of COVID-19 patients in home isolation. The proposed system monitors and surveils patients' health indicators in their homes using wearable technology and AI. The results could be used in the planning and preparation of equipment and beds to be adequate and sufficient for the evolving situation of the COVID-19 epidemic in a timely manner. This approach aims to improve the prevention, monitoring, and control of the spread of COVID-19 in the community.</w:t>
      </w:r>
      <w:r/>
    </w:p>
    <w:p>
      <w:pPr>
        <w:pStyle w:val="ListNumber"/>
        <w:spacing w:line="240" w:lineRule="auto"/>
        <w:ind w:left="720"/>
      </w:pPr>
      <w:r/>
      <w:hyperlink r:id="rId13">
        <w:r>
          <w:rPr>
            <w:color w:val="0000EE"/>
            <w:u w:val="single"/>
          </w:rPr>
          <w:t>https://ijmsphr.com/index.php/ijmsphr/article/view/224</w:t>
        </w:r>
      </w:hyperlink>
      <w:r>
        <w:t xml:space="preserve"> - This paper discusses the integration of IoT and AI in healthcare, focusing on how these technologies can transform patient monitoring and operational efficiencies. It highlights the use of smart sensors on wearables and smart medical devices to process large amounts of real-time health and operational data. Combined with AI algorithms, these data streams can be converted into actionable information, facilitating predictive diagnostics, proactive measures, and the prioritisation of available resources. The paper also addresses challenges such as interoperability, data security, and ethical issues related to patient privacy, emphasising the need for scalable, safe, and patient-focused online health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future-trends-of-ai-driven-health-information-management-systems-integration-with-iot-wearables-and-advanced-predictive-analytics-in-patient-care-3789165/" TargetMode="External"/><Relationship Id="rId10" Type="http://schemas.openxmlformats.org/officeDocument/2006/relationships/hyperlink" Target="https://arxiv.org/abs/2508.03436" TargetMode="External"/><Relationship Id="rId11" Type="http://schemas.openxmlformats.org/officeDocument/2006/relationships/hyperlink" Target="https://arxiv.org/abs/2510.21445" TargetMode="External"/><Relationship Id="rId12" Type="http://schemas.openxmlformats.org/officeDocument/2006/relationships/hyperlink" Target="https://www.mdpi.com/2076-3417/15/8/4400" TargetMode="External"/><Relationship Id="rId13" Type="http://schemas.openxmlformats.org/officeDocument/2006/relationships/hyperlink" Target="https://ijmsphr.com/index.php/ijmsphr/article/view/224" TargetMode="External"/><Relationship Id="rId14" Type="http://schemas.openxmlformats.org/officeDocument/2006/relationships/hyperlink" Target="https://arxiv.org/abs/2504.17669" TargetMode="External"/><Relationship Id="rId15" Type="http://schemas.openxmlformats.org/officeDocument/2006/relationships/hyperlink" Target="https://arxiv.org/abs/2110.101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