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unveils comprehensive reforms to bolster UK investment and innovation amid global regulatory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 8 December 2025 the Financial Conduct Authority unveiled a package of measures, which it said are designed "to empower retail investment, reinforce wholesale markets and maintain the UK's position as a world-leading financial centre." The suite includes a discussion paper on expanding consumer access to investments (DP25/3), a consultation on client categorisation and conflicts of interest (CP25/36) and a policy statement with final rules for consumer composite investments that replace EU-derived disclosure regimes for PRIIPs and UCITS (PS25/20). The FCA also confirmed that rules for target‑supported funds will be published shortly and provided an update on the Consumer Duty for firms that jointly manufacture products or services. </w:t>
      </w:r>
      <w:hyperlink r:id="rId9">
        <w:r>
          <w:rPr>
            <w:color w:val="0000EE"/>
            <w:u w:val="single"/>
          </w:rPr>
          <w:t>[1]</w:t>
        </w:r>
      </w:hyperlink>
      <w:hyperlink r:id="rId10">
        <w:r>
          <w:rPr>
            <w:color w:val="0000EE"/>
            <w:u w:val="single"/>
          </w:rPr>
          <w:t>[2]</w:t>
        </w:r>
      </w:hyperlink>
      <w:r/>
    </w:p>
    <w:p>
      <w:r/>
      <w:r>
        <w:t xml:space="preserve">The consultation on client categorisation proposes several substantive changes to the elective professional client regime: removing the existing quantitative test in COBS 3.5.3R(2); strengthening the qualitative assessment firms must undertake; introducing an alternative wealth assessment; and improving safeguards for clients who opt out of retail protections. The paper also seeks to simplify the criteria for per se professional client status and consults on amendments to the conflicts of interest rules in SYSC. The consultation period closes on 2 February 2026. </w:t>
      </w:r>
      <w:hyperlink r:id="rId9">
        <w:r>
          <w:rPr>
            <w:color w:val="0000EE"/>
            <w:u w:val="single"/>
          </w:rPr>
          <w:t>[1]</w:t>
        </w:r>
      </w:hyperlink>
      <w:hyperlink r:id="rId10">
        <w:r>
          <w:rPr>
            <w:color w:val="0000EE"/>
            <w:u w:val="single"/>
          </w:rPr>
          <w:t>[2]</w:t>
        </w:r>
      </w:hyperlink>
      <w:r/>
    </w:p>
    <w:p>
      <w:r/>
      <w:r>
        <w:t xml:space="preserve">The FCA’s move comes against a backdrop of recent regulatory and supervisory reviews across the UK financial ecosystem. In particular, the Court of Appeal’s judgment in Linear Investments Ltd v Financial Ombudsman Service Ltd emphasised that firms cannot rely on tick‑box exercises where there are red flags and must probe inconsistencies and obtain adequate substantiation of clients’ trading experience. The court noted that "trading CFDs for speculative purposes is a materially different activity from buying and selling stocks and shares in the conventional way" and criticised superficial reliance on quantitative tests where key details , such as market or lot size , were not specified. That judgment reinforces the FCA’s focus on more rigorous, evidence‑based client assessments. </w:t>
      </w:r>
      <w:hyperlink r:id="rId9">
        <w:r>
          <w:rPr>
            <w:color w:val="0000EE"/>
            <w:u w:val="single"/>
          </w:rPr>
          <w:t>[1]</w:t>
        </w:r>
      </w:hyperlink>
      <w:r/>
    </w:p>
    <w:p>
      <w:r/>
      <w:r>
        <w:t xml:space="preserve">The FCA package also resonates with international regulatory work addressing new industry models and distribution channels. IOSCO’s final report on neo‑brokers, published in November 2025, acknowledged the benefits of digital‑first brokerages for market access but warned of risks around fee transparency, ancillary revenue, payment‑for‑order‑flow, IT resilience and the need for clear, investor‑facing disclosures. Its five recommendations for regulators and firms aim to ensure neo‑brokers act "honestly, fairly and professionally" and disclose material fees and conflicts , a context that underlines why the FCA is revising client protections and conflicts rules now. </w:t>
      </w:r>
      <w:hyperlink r:id="rId11">
        <w:r>
          <w:rPr>
            <w:color w:val="0000EE"/>
            <w:u w:val="single"/>
          </w:rPr>
          <w:t>[7]</w:t>
        </w:r>
      </w:hyperlink>
      <w:r/>
    </w:p>
    <w:p>
      <w:r/>
      <w:r>
        <w:t xml:space="preserve">Policy developments at Treasury and the Bank of England add further context. On 4 December 2025 HM Treasury set out plans for a provisional licensing authorisation regime to ease the path to authorisation for early‑stage, innovative firms that might otherwise struggle to meet the threshold conditions under Part 4A of the Financial Services and Markets Act 2000. The regime would provide time‑limited licences (up to 18 months, extendable in limited circumstances) with proportionate assessment against threshold conditions and ongoing FCA supervision intended to support firms towards full authorisation. The government will pursue primary legislation when parliamentary time allows. </w:t>
      </w:r>
      <w:hyperlink r:id="rId12">
        <w:r>
          <w:rPr>
            <w:color w:val="0000EE"/>
            <w:u w:val="single"/>
          </w:rPr>
          <w:t>[3]</w:t>
        </w:r>
      </w:hyperlink>
      <w:r/>
    </w:p>
    <w:p>
      <w:r/>
      <w:r>
        <w:t xml:space="preserve">On the prudential side, the Bank of England’s Financial Policy Committee, in its Financial Stability in Focus note published on 2 December 2025, set a revised system‑wide benchmark for Tier 1 capital requirements at about 13% of risk‑weighted assets (roughly equivalent to a Common Equity Tier 1 ratio of c.11%), down from the 14% benchmark established in 2015. The FPC cited lower average risk weights, reductions in systemic importance for some banks and improved risk measurement as factors supporting the change. It also signalled work with the Prudential Regulation Authority and international counterparts to improve the usability of regulatory buffers and a review of how the leverage ratio is implemented in the UK. Those prudential recalibrations will shape banks’ capacity to support markets and growth alongside the FCA’s conduct and market‑structure reforms. </w:t>
      </w:r>
      <w:hyperlink r:id="rId13">
        <w:r>
          <w:rPr>
            <w:color w:val="0000EE"/>
            <w:u w:val="single"/>
          </w:rPr>
          <w:t>[4]</w:t>
        </w:r>
      </w:hyperlink>
      <w:r/>
    </w:p>
    <w:p>
      <w:r/>
      <w:r>
        <w:t xml:space="preserve">Broader financial system stability concerns were echoed internationally: in a letter to G20 leaders the Financial Stability Board highlighted gaps in implementation of prior G20 financial reforms, the growing role of non‑bank financial intermediation, and the need to expedite improvements in cross‑border payments and digital‑asset frameworks. The FSB singled out the need for effective frameworks that balance safe innovation with cross‑border operability , an objective reflected in the FCA’s stated ambition to both support retail access and maintain market integrity. </w:t>
      </w:r>
      <w:hyperlink r:id="rId14">
        <w:r>
          <w:rPr>
            <w:color w:val="0000EE"/>
            <w:u w:val="single"/>
          </w:rPr>
          <w:t>[5]</w:t>
        </w:r>
      </w:hyperlink>
      <w:r/>
    </w:p>
    <w:p>
      <w:r/>
      <w:r>
        <w:t xml:space="preserve">Taken together, the FCA’s package, HM Treasury’s provisional licences proposal and the Bank of England’s prudential recalibration signal a co‑ordinated shift towards enabling innovation and growth while sharpening investor protections and system resilience. Industry participants should prepare for tighter qualitative scrutiny of client categorisation, new disclosure requirements for composite products and heightened supervisory engagement with firms seeking authorisation or provisional licences; regulators have also signalled they will continue to use supervisory and enforcement powers where firms do not meet the standards expected.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[4]</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(Taylor Wessing: FSR , Financial Services Matters , December 2025) - Paragraph 1, Paragraph 2, Paragraph 3, Paragraph 8 </w:t>
      </w:r>
      <w:r/>
    </w:p>
    <w:p>
      <w:pPr>
        <w:pStyle w:val="ListBullet"/>
        <w:spacing w:line="240" w:lineRule="auto"/>
        <w:ind w:left="720"/>
      </w:pPr>
      <w:r/>
      <w:hyperlink r:id="rId10">
        <w:r>
          <w:rPr>
            <w:color w:val="0000EE"/>
            <w:u w:val="single"/>
          </w:rPr>
          <w:t>[2]</w:t>
        </w:r>
      </w:hyperlink>
      <w:r>
        <w:t xml:space="preserve"> (FCA press release: FCA sets out landmark package to boost UK investment culture) - Paragraph 1, Paragraph 2 </w:t>
      </w:r>
      <w:r/>
    </w:p>
    <w:p>
      <w:pPr>
        <w:pStyle w:val="ListBullet"/>
        <w:spacing w:line="240" w:lineRule="auto"/>
        <w:ind w:left="720"/>
      </w:pPr>
      <w:r/>
      <w:hyperlink r:id="rId11">
        <w:r>
          <w:rPr>
            <w:color w:val="0000EE"/>
            <w:u w:val="single"/>
          </w:rPr>
          <w:t>[7]</w:t>
        </w:r>
      </w:hyperlink>
      <w:r>
        <w:t xml:space="preserve"> (IOSCO: Final report on neo-brokers) - Paragraph 4, Paragraph 8 </w:t>
      </w:r>
      <w:r/>
    </w:p>
    <w:p>
      <w:pPr>
        <w:pStyle w:val="ListBullet"/>
        <w:spacing w:line="240" w:lineRule="auto"/>
        <w:ind w:left="720"/>
      </w:pPr>
      <w:r/>
      <w:hyperlink r:id="rId12">
        <w:r>
          <w:rPr>
            <w:color w:val="0000EE"/>
            <w:u w:val="single"/>
          </w:rPr>
          <w:t>[3]</w:t>
        </w:r>
      </w:hyperlink>
      <w:r>
        <w:t xml:space="preserve"> (HM Treasury: Creating a provisional licences authorisation regime , policy update 2025) - Paragraph 5, Paragraph 8 </w:t>
      </w:r>
      <w:r/>
    </w:p>
    <w:p>
      <w:pPr>
        <w:pStyle w:val="ListBullet"/>
        <w:spacing w:line="240" w:lineRule="auto"/>
        <w:ind w:left="720"/>
      </w:pPr>
      <w:r/>
      <w:hyperlink r:id="rId13">
        <w:r>
          <w:rPr>
            <w:color w:val="0000EE"/>
            <w:u w:val="single"/>
          </w:rPr>
          <w:t>[4]</w:t>
        </w:r>
      </w:hyperlink>
      <w:r>
        <w:t xml:space="preserve"> (Bank of England: Financial Stability in Focus , December 2025) - Paragraph 6, Paragraph 8 </w:t>
      </w:r>
      <w:r/>
    </w:p>
    <w:p>
      <w:pPr>
        <w:pStyle w:val="ListBullet"/>
        <w:spacing w:line="240" w:lineRule="auto"/>
        <w:ind w:left="720"/>
      </w:pPr>
      <w:r/>
      <w:hyperlink r:id="rId14">
        <w:r>
          <w:rPr>
            <w:color w:val="0000EE"/>
            <w:u w:val="single"/>
          </w:rPr>
          <w:t>[5]</w:t>
        </w:r>
      </w:hyperlink>
      <w:r>
        <w:t xml:space="preserve"> (FSB: Letter from FSB Chair to G20 Leaders) - Paragraph 7,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https://www.taylorwessing.com/en/insights-and-events/insights/2025/12/fsr-financial-services-matters---december-2025</w:t>
        </w:r>
      </w:hyperlink>
      <w:r>
        <w:t xml:space="preserve"> - Please view link - unable to able to access data</w:t>
      </w:r>
      <w:r/>
    </w:p>
    <w:p>
      <w:pPr>
        <w:pStyle w:val="ListNumber"/>
        <w:spacing w:line="240" w:lineRule="auto"/>
        <w:ind w:left="720"/>
      </w:pPr>
      <w:r/>
      <w:hyperlink r:id="rId10">
        <w:r>
          <w:rPr>
            <w:color w:val="0000EE"/>
            <w:u w:val="single"/>
          </w:rPr>
          <w:t>https://www.fca.org.uk/news/press-releases/fca-sets-out-landmark-package-boost-uk-investment-culture</w:t>
        </w:r>
      </w:hyperlink>
      <w:r>
        <w:t xml:space="preserve"> - On 8 December 2025, the Financial Conduct Authority (FCA) announced a suite of measures aimed at empowering retail investment, reinforcing wholesale markets, and maintaining the UK's position as a leading financial centre. These initiatives include a discussion paper on expanding consumer access to investments, a consultation paper on client categorisation and conflicts of interest, and a policy statement setting out final rules for consumer composite investments, replacing EU-derived disclosure rules for PRIIPs and UCITS. The FCA also confirmed that rules for target supported will be published shortly and provided an update on the Consumer Duty for firms that work together to manufacture products or services.</w:t>
      </w:r>
      <w:r/>
    </w:p>
    <w:p>
      <w:pPr>
        <w:pStyle w:val="ListNumber"/>
        <w:spacing w:line="240" w:lineRule="auto"/>
        <w:ind w:left="720"/>
      </w:pPr>
      <w:r/>
      <w:hyperlink r:id="rId12">
        <w:r>
          <w:rPr>
            <w:color w:val="0000EE"/>
            <w:u w:val="single"/>
          </w:rPr>
          <w:t>https://www.gov.uk/government/publications/creating-a-provisional-licences-authorisation-regime-policy-update-2025</w:t>
        </w:r>
      </w:hyperlink>
      <w:r>
        <w:t xml:space="preserve"> - On 4 December 2025, HM Treasury published a policy paper outlining the creation of a provisional licensing authorisation regime. This regime aims to reduce obstacles faced by financial services firms seeking authorisation, particularly early-stage firms with innovative business models. The provisional licences will allow firms to operate in a controlled environment with strong regulatory oversight while working towards full authorisation. The policy paper details how the regime is expected to operate once established, including the duration of provisional licences and the FCA's approach to assessing applications.</w:t>
      </w:r>
      <w:r/>
    </w:p>
    <w:p>
      <w:pPr>
        <w:pStyle w:val="ListNumber"/>
        <w:spacing w:line="240" w:lineRule="auto"/>
        <w:ind w:left="720"/>
      </w:pPr>
      <w:r/>
      <w:hyperlink r:id="rId13">
        <w:r>
          <w:rPr>
            <w:color w:val="0000EE"/>
            <w:u w:val="single"/>
          </w:rPr>
          <w:t>https://www.bankofengland.co.uk/financial-stability-report/2025/december/financial-stability-in-focus</w:t>
        </w:r>
      </w:hyperlink>
      <w:r>
        <w:t xml:space="preserve"> - On 2 December 2025, alongside the publication of its Financial Stability Report, the Bank of England (BoE) released the latest issue of Financial Stability in Focus (FSF). This FSF contains the Financial Policy Committee's (FPC) assessment of capital requirements for UK banks. Key points include the determination that the appropriate benchmark for the system-wide level of Tier 1 capital requirements is now around 13% of risk-weighted assets, a reduction from the previous 14% benchmark set in 2015. The FPC also plans to work with the Prudential Regulation Authority and international authorities to improve the usability of regulatory buffers and will review how the leverage ratio has been implemented in the UK.</w:t>
      </w:r>
      <w:r/>
    </w:p>
    <w:p>
      <w:pPr>
        <w:pStyle w:val="ListNumber"/>
        <w:spacing w:line="240" w:lineRule="auto"/>
        <w:ind w:left="720"/>
      </w:pPr>
      <w:r/>
      <w:hyperlink r:id="rId14">
        <w:r>
          <w:rPr>
            <w:color w:val="0000EE"/>
            <w:u w:val="single"/>
          </w:rPr>
          <w:t>https://www.fsb.org/2025/11/letter-from-fsb-chair-to-g20-leaders-ahead-of-2025-summit/</w:t>
        </w:r>
      </w:hyperlink>
      <w:r>
        <w:t xml:space="preserve"> - On 20 November 2025, the Financial Stability Board (FSB) published a letter from its Chair, addressed to G20 Leaders ahead of their 2025 Summit. The letter highlights the challenging economic outlook and calls for global efforts to modernise and strengthen financial regulations without compromising financial stability. Important points noted include the identification of significant gaps in the implementation of G20 financial reform, the increasing role of non-bank financial intermediaries, and the need for urgent acceleration in improving cross-border payments and digital assets.</w:t>
      </w:r>
      <w:r/>
    </w:p>
    <w:p>
      <w:pPr>
        <w:pStyle w:val="ListNumber"/>
        <w:spacing w:line="240" w:lineRule="auto"/>
        <w:ind w:left="720"/>
      </w:pPr>
      <w:r/>
      <w:hyperlink r:id="rId16">
        <w:r>
          <w:rPr>
            <w:color w:val="0000EE"/>
            <w:u w:val="single"/>
          </w:rPr>
          <w:t>https://www.fca.org.uk/news/press-releases/fca-updates-statement-policy-regulatory-failure-investigations</w:t>
        </w:r>
      </w:hyperlink>
      <w:r>
        <w:t xml:space="preserve"> - On 14 November 2025, the FCA published its updated statement of policy on statutory investigations into regulatory failure. The FCA is required, under Part 5 of the Financial Services Act 2012, to investigate and report to HM Treasury where it considers there has been a serious failure in the system of financial regulation. The updated policy outlines the FCA's approach for determining whether a regulatory failure has occurred, its process for conducting investigations, and details its reporting process to HM Treasury. Notable updates include the addition of a new objective to facilitate the international competitiveness of the UK economy and the revision of monetary thresholds for determining 'significance'.</w:t>
      </w:r>
      <w:r/>
    </w:p>
    <w:p>
      <w:pPr>
        <w:pStyle w:val="ListNumber"/>
        <w:spacing w:line="240" w:lineRule="auto"/>
        <w:ind w:left="720"/>
      </w:pPr>
      <w:r/>
      <w:hyperlink r:id="rId11">
        <w:r>
          <w:rPr>
            <w:color w:val="0000EE"/>
            <w:u w:val="single"/>
          </w:rPr>
          <w:t>https://www.iosco.org/library/pubdocs/pdf/IOSCOPD687.pdf</w:t>
        </w:r>
      </w:hyperlink>
      <w:r>
        <w:t xml:space="preserve"> - On 12 November 2025, the International Organisation of Securities Commissions (IOSCO) published its final report on neo-brokers. Neo-brokers are a subset of digital-first broker-dealers that provide services with limited human interaction, characterised by engaging client interfaces and online-only investment services. The IOSCO recognises the importance of the neo-broker business model for enhancing market access but highlights associated risks. The report provides five key recommendations for regulators and firms to ensure that neo-brokers operate in an environment prioritising investor protection and market transparency.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ylorwessing.com/en/insights-and-events/insights/2025/12/fsr-financial-services-matters---december-2025" TargetMode="External"/><Relationship Id="rId10" Type="http://schemas.openxmlformats.org/officeDocument/2006/relationships/hyperlink" Target="https://www.fca.org.uk/news/press-releases/fca-sets-out-landmark-package-boost-uk-investment-culture" TargetMode="External"/><Relationship Id="rId11" Type="http://schemas.openxmlformats.org/officeDocument/2006/relationships/hyperlink" Target="https://www.iosco.org/library/pubdocs/pdf/IOSCOPD687.pdf" TargetMode="External"/><Relationship Id="rId12" Type="http://schemas.openxmlformats.org/officeDocument/2006/relationships/hyperlink" Target="https://www.gov.uk/government/publications/creating-a-provisional-licences-authorisation-regime-policy-update-2025" TargetMode="External"/><Relationship Id="rId13" Type="http://schemas.openxmlformats.org/officeDocument/2006/relationships/hyperlink" Target="https://www.bankofengland.co.uk/financial-stability-report/2025/december/financial-stability-in-focus" TargetMode="External"/><Relationship Id="rId14" Type="http://schemas.openxmlformats.org/officeDocument/2006/relationships/hyperlink" Target="https://www.fsb.org/2025/11/letter-from-fsb-chair-to-g20-leaders-ahead-of-2025-summit/" TargetMode="External"/><Relationship Id="rId15" Type="http://schemas.openxmlformats.org/officeDocument/2006/relationships/hyperlink" Target="https://www.noahwire.com" TargetMode="External"/><Relationship Id="rId16" Type="http://schemas.openxmlformats.org/officeDocument/2006/relationships/hyperlink" Target="https://www.fca.org.uk/news/press-releases/fca-updates-statement-policy-regulatory-failure-investig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