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content depth and expertise signals are transforming AI-driven discoverability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rise of generative artificial intelligence is rewriting the rules of discoverability on the web. According to the original report, AI engines prioritise content depth, demonstrable expertise and the semantic relationships between concepts rather than traditional keyword targeting or backlink volume. Brands that succeed in this new environment are those that construct verifiable topical authority , a combination of rigorous content, structured context and cross‑platform consistency that machines can recognise and validate. </w:t>
      </w:r>
      <w:hyperlink r:id="rId9">
        <w:r>
          <w:rPr>
            <w:color w:val="0000EE"/>
            <w:u w:val="single"/>
          </w:rPr>
          <w:t>[1]</w:t>
        </w:r>
      </w:hyperlink>
      <w:hyperlink r:id="rId9">
        <w:r>
          <w:rPr>
            <w:color w:val="0000EE"/>
            <w:u w:val="single"/>
          </w:rPr>
          <w:t>[7]</w:t>
        </w:r>
      </w:hyperlink>
      <w:r/>
    </w:p>
    <w:p>
      <w:r/>
      <w:r>
        <w:t xml:space="preserve">Where conventional SEO rewarded exact‑match terms and superficial page optimisation, AI discovery values comprehensive coverage and nuanced insight. Industry commentary shows that AI systems evaluate content by analysing semantic relationships, entity recognition and the logical coherence of topic clusters, favouring resources that provide multi‑layered treatment of subjects over thin, keyword‑led pages. This shift makes content depth , technical detail, historical context, counterarguments and forward‑looking analysis , a primary currency for visibility. </w:t>
      </w:r>
      <w:hyperlink r:id="rId10">
        <w:r>
          <w:rPr>
            <w:color w:val="0000EE"/>
            <w:u w:val="single"/>
          </w:rPr>
          <w:t>[2]</w:t>
        </w:r>
      </w:hyperlink>
      <w:hyperlink r:id="rId11">
        <w:r>
          <w:rPr>
            <w:color w:val="0000EE"/>
            <w:u w:val="single"/>
          </w:rPr>
          <w:t>[3]</w:t>
        </w:r>
      </w:hyperlink>
      <w:hyperlink r:id="rId12">
        <w:r>
          <w:rPr>
            <w:color w:val="0000EE"/>
            <w:u w:val="single"/>
          </w:rPr>
          <w:t>[6]</w:t>
        </w:r>
      </w:hyperlink>
      <w:r/>
    </w:p>
    <w:p>
      <w:r/>
      <w:r>
        <w:t xml:space="preserve">Demonstrating expertise to machines demands more than an author byline. The original report and related industry pieces recommend embedding expertise signals directly within content: accurate technical terminology, case studies and proprietary data, explicit methodologies, and citations to primary sources. The company said in a statement that consistent presentation of these elements across articles, documentation and author profiles helps AI systems verify authority. </w:t>
      </w:r>
      <w:hyperlink r:id="rId9">
        <w:r>
          <w:rPr>
            <w:color w:val="0000EE"/>
            <w:u w:val="single"/>
          </w:rPr>
          <w:t>[1]</w:t>
        </w:r>
      </w:hyperlink>
      <w:hyperlink r:id="rId13">
        <w:r>
          <w:rPr>
            <w:color w:val="0000EE"/>
            <w:u w:val="single"/>
          </w:rPr>
          <w:t>[4]</w:t>
        </w:r>
      </w:hyperlink>
      <w:hyperlink r:id="rId14">
        <w:r>
          <w:rPr>
            <w:color w:val="0000EE"/>
            <w:u w:val="single"/>
          </w:rPr>
          <w:t>[5]</w:t>
        </w:r>
      </w:hyperlink>
      <w:r/>
    </w:p>
    <w:p>
      <w:r/>
      <w:r>
        <w:t xml:space="preserve">Citation networks and third‑party validation now play a role analogous to academic referencing. Data shows that AI models assess who cites a source and in what context, giving greater weight to mentions that appear in research reports, industry analyses and expert commentary than to casual social references. Original research, replicated methodologies and expert surveys therefore become high‑value assets because they generate citation pathways that AI engines can trace. </w:t>
      </w:r>
      <w:hyperlink r:id="rId9">
        <w:r>
          <w:rPr>
            <w:color w:val="0000EE"/>
            <w:u w:val="single"/>
          </w:rPr>
          <w:t>[1]</w:t>
        </w:r>
      </w:hyperlink>
      <w:hyperlink r:id="rId10">
        <w:r>
          <w:rPr>
            <w:color w:val="0000EE"/>
            <w:u w:val="single"/>
          </w:rPr>
          <w:t>[2]</w:t>
        </w:r>
      </w:hyperlink>
      <w:hyperlink r:id="rId14">
        <w:r>
          <w:rPr>
            <w:color w:val="0000EE"/>
            <w:u w:val="single"/>
          </w:rPr>
          <w:t>[5]</w:t>
        </w:r>
      </w:hyperlink>
      <w:r/>
    </w:p>
    <w:p>
      <w:r/>
      <w:r>
        <w:t xml:space="preserve">Organising content as interlocking topic clusters is central to conveying domain mastery. Practical examples from the field illustrate how pillar pages, supporting cluster articles and semantic internal linking form content ecosystems that make entity relationships explicit to algorithms. Measurement frameworks that track AI platform citations, query coverage and entity recognition complement traditional SEO metrics, ensuring teams can monitor visibility across both human and machine discovery channels. </w:t>
      </w:r>
      <w:hyperlink r:id="rId11">
        <w:r>
          <w:rPr>
            <w:color w:val="0000EE"/>
            <w:u w:val="single"/>
          </w:rPr>
          <w:t>[3]</w:t>
        </w:r>
      </w:hyperlink>
      <w:hyperlink r:id="rId9">
        <w:r>
          <w:rPr>
            <w:color w:val="0000EE"/>
            <w:u w:val="single"/>
          </w:rPr>
          <w:t>[7]</w:t>
        </w:r>
      </w:hyperlink>
      <w:r/>
    </w:p>
    <w:p>
      <w:r/>
      <w:r>
        <w:t xml:space="preserve">The technical layer must mirror editorial rigour. Industry guidance recommends implementing comprehensive Schema.org markup , not just basic Article tags but detailed Person, Organization and Expert schemas , alongside consistent taxonomies and entity maps. Tools that test structured data and continuous optimisation platforms are highlighted as essential for maintaining machine‑readable authority signals as AI models evolve. </w:t>
      </w:r>
      <w:hyperlink r:id="rId13">
        <w:r>
          <w:rPr>
            <w:color w:val="0000EE"/>
            <w:u w:val="single"/>
          </w:rPr>
          <w:t>[4]</w:t>
        </w:r>
      </w:hyperlink>
      <w:hyperlink r:id="rId12">
        <w:r>
          <w:rPr>
            <w:color w:val="0000EE"/>
            <w:u w:val="single"/>
          </w:rPr>
          <w:t>[6]</w:t>
        </w:r>
      </w:hyperlink>
      <w:hyperlink r:id="rId9">
        <w:r>
          <w:rPr>
            <w:color w:val="0000EE"/>
            <w:u w:val="single"/>
          </w:rPr>
          <w:t>[7]</w:t>
        </w:r>
      </w:hyperlink>
      <w:r/>
    </w:p>
    <w:p>
      <w:r/>
      <w:r>
        <w:t xml:space="preserve">Consistency across touchpoints , websites, social channels, conference appearances and published research , reinforces credibility. Reports indicate that AI systems penalise incoherence: conflicting claims, uneven depth across platforms or abrupt shifts in thematic focus weaken authority assessments. Brands that synchronise messaging and refresh related content groups regularly increase the likelihood that generative engines will treat them as reliable sources. </w:t>
      </w:r>
      <w:hyperlink r:id="rId9">
        <w:r>
          <w:rPr>
            <w:color w:val="0000EE"/>
            <w:u w:val="single"/>
          </w:rPr>
          <w:t>[1]</w:t>
        </w:r>
      </w:hyperlink>
      <w:hyperlink r:id="rId14">
        <w:r>
          <w:rPr>
            <w:color w:val="0000EE"/>
            <w:u w:val="single"/>
          </w:rPr>
          <w:t>[5]</w:t>
        </w:r>
      </w:hyperlink>
      <w:hyperlink r:id="rId12">
        <w:r>
          <w:rPr>
            <w:color w:val="0000EE"/>
            <w:u w:val="single"/>
          </w:rPr>
          <w:t>[6]</w:t>
        </w:r>
      </w:hyperlink>
      <w:r/>
    </w:p>
    <w:p>
      <w:r/>
      <w:r>
        <w:t xml:space="preserve">Future‑proofing discoverability requires investing in genuine expertise rather than attempting to game algorithmic shortcuts. The consensus across analyses is that authentic contributions , original data, peer‑review‑style validation, methodological transparency and sustained community engagement , will be increasingly rewarded as generative engines become better at distinguishing manufactured authority from substantive knowledge. For organisations planning long‑term visibility, the imperative is clear: build for machine comprehension without sacrificing human utility. </w:t>
      </w:r>
      <w:hyperlink r:id="rId9">
        <w:r>
          <w:rPr>
            <w:color w:val="0000EE"/>
            <w:u w:val="single"/>
          </w:rPr>
          <w:t>[1]</w:t>
        </w:r>
      </w:hyperlink>
      <w:hyperlink r:id="rId10">
        <w:r>
          <w:rPr>
            <w:color w:val="0000EE"/>
            <w:u w:val="single"/>
          </w:rPr>
          <w:t>[2]</w:t>
        </w:r>
      </w:hyperlink>
      <w:hyperlink r:id="rId13">
        <w:r>
          <w:rPr>
            <w:color w:val="0000EE"/>
            <w:u w:val="single"/>
          </w:rPr>
          <w:t>[4]</w:t>
        </w:r>
      </w:hyperlink>
      <w:hyperlink r:id="rId14">
        <w:r>
          <w:rPr>
            <w:color w:val="0000EE"/>
            <w:u w:val="single"/>
          </w:rPr>
          <w:t>[5]</w:t>
        </w:r>
      </w:hyperlink>
      <w:hyperlink r:id="rId9">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(Growth Rocket) - Paragraph 1, Paragraph 3, Paragraph 4, Paragraph 5, Paragraph 7, Paragraph 8 </w:t>
      </w:r>
      <w:r/>
    </w:p>
    <w:p>
      <w:pPr>
        <w:pStyle w:val="ListBullet"/>
        <w:spacing w:line="240" w:lineRule="auto"/>
        <w:ind w:left="720"/>
      </w:pPr>
      <w:r/>
      <w:hyperlink r:id="rId10">
        <w:r>
          <w:rPr>
            <w:color w:val="0000EE"/>
            <w:u w:val="single"/>
          </w:rPr>
          <w:t>[2]</w:t>
        </w:r>
      </w:hyperlink>
      <w:r>
        <w:t xml:space="preserve"> (MediaCollateral) - Paragraph 2, Paragraph 4, Paragraph 8 </w:t>
      </w:r>
      <w:r/>
    </w:p>
    <w:p>
      <w:pPr>
        <w:pStyle w:val="ListBullet"/>
        <w:spacing w:line="240" w:lineRule="auto"/>
        <w:ind w:left="720"/>
      </w:pPr>
      <w:r/>
      <w:hyperlink r:id="rId11">
        <w:r>
          <w:rPr>
            <w:color w:val="0000EE"/>
            <w:u w:val="single"/>
          </w:rPr>
          <w:t>[3]</w:t>
        </w:r>
      </w:hyperlink>
      <w:r>
        <w:t xml:space="preserve"> (Gryffin) - Paragraph 2, Paragraph 5 </w:t>
      </w:r>
      <w:r/>
    </w:p>
    <w:p>
      <w:pPr>
        <w:pStyle w:val="ListBullet"/>
        <w:spacing w:line="240" w:lineRule="auto"/>
        <w:ind w:left="720"/>
      </w:pPr>
      <w:r/>
      <w:hyperlink r:id="rId13">
        <w:r>
          <w:rPr>
            <w:color w:val="0000EE"/>
            <w:u w:val="single"/>
          </w:rPr>
          <w:t>[4]</w:t>
        </w:r>
      </w:hyperlink>
      <w:r>
        <w:t xml:space="preserve"> (Hashmeta.ai) - Paragraph 3, Paragraph 6, Paragraph 8 </w:t>
      </w:r>
      <w:r/>
    </w:p>
    <w:p>
      <w:pPr>
        <w:pStyle w:val="ListBullet"/>
        <w:spacing w:line="240" w:lineRule="auto"/>
        <w:ind w:left="720"/>
      </w:pPr>
      <w:r/>
      <w:hyperlink r:id="rId14">
        <w:r>
          <w:rPr>
            <w:color w:val="0000EE"/>
            <w:u w:val="single"/>
          </w:rPr>
          <w:t>[5]</w:t>
        </w:r>
      </w:hyperlink>
      <w:r>
        <w:t xml:space="preserve"> (MRM report) - Paragraph 3, Paragraph 4, Paragraph 7, Paragraph 8 </w:t>
      </w:r>
      <w:r/>
    </w:p>
    <w:p>
      <w:pPr>
        <w:pStyle w:val="ListBullet"/>
        <w:spacing w:line="240" w:lineRule="auto"/>
        <w:ind w:left="720"/>
      </w:pPr>
      <w:r/>
      <w:hyperlink r:id="rId12">
        <w:r>
          <w:rPr>
            <w:color w:val="0000EE"/>
            <w:u w:val="single"/>
          </w:rPr>
          <w:t>[6]</w:t>
        </w:r>
      </w:hyperlink>
      <w:r>
        <w:t xml:space="preserve"> (RevvGrowth) - Paragraph 2, Paragraph 6, Paragraph 7 </w:t>
      </w:r>
      <w:r/>
    </w:p>
    <w:p>
      <w:pPr>
        <w:pStyle w:val="ListBullet"/>
        <w:spacing w:line="240" w:lineRule="auto"/>
        <w:ind w:left="720"/>
      </w:pPr>
      <w:r/>
      <w:hyperlink r:id="rId9">
        <w:r>
          <w:rPr>
            <w:color w:val="0000EE"/>
            <w:u w:val="single"/>
          </w:rPr>
          <w:t>[7]</w:t>
        </w:r>
      </w:hyperlink>
      <w:r>
        <w:t xml:space="preserve"> (Growth Rocket duplicate) - Paragraph 1, Paragraph 5, Paragraph 6,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https://www.growth-rocket.com/blog/semantic-search-optimization-for-ai-first-discovery/</w:t>
        </w:r>
      </w:hyperlink>
      <w:r>
        <w:t xml:space="preserve"> - Please view link - unable to able to access data</w:t>
      </w:r>
      <w:r/>
    </w:p>
    <w:p>
      <w:pPr>
        <w:pStyle w:val="ListNumber"/>
        <w:spacing w:line="240" w:lineRule="auto"/>
        <w:ind w:left="720"/>
      </w:pPr>
      <w:r/>
      <w:hyperlink r:id="rId10">
        <w:r>
          <w:rPr>
            <w:color w:val="0000EE"/>
            <w:u w:val="single"/>
          </w:rPr>
          <w:t>https://www.mediacollateral.com/how-gen-ai-is-revolutionising-seo/</w:t>
        </w:r>
      </w:hyperlink>
      <w:r>
        <w:t xml:space="preserve"> - This article discusses how generative AI is transforming search engine optimization (SEO) by prioritising content built around genuine expertise, comprehensive coverage, and meaningful user insights. It highlights the limitations of traditional keyword-centric strategies and emphasises the need for content that aligns with user intent and demonstrates topical authority through depth and cohesion. The piece also explores the shift from keyword-first strategies to content-centric approaches in the AI era, underscoring the importance of semantic clarity and context-driven optimisation.</w:t>
      </w:r>
      <w:r/>
    </w:p>
    <w:p>
      <w:pPr>
        <w:pStyle w:val="ListNumber"/>
        <w:spacing w:line="240" w:lineRule="auto"/>
        <w:ind w:left="720"/>
      </w:pPr>
      <w:r/>
      <w:hyperlink r:id="rId11">
        <w:r>
          <w:rPr>
            <w:color w:val="0000EE"/>
            <w:u w:val="single"/>
          </w:rPr>
          <w:t>https://www.gryffin.com/blog/ai-article-seo</w:t>
        </w:r>
      </w:hyperlink>
      <w:r>
        <w:t xml:space="preserve"> - This blog post explores the evolution of SEO in the age of AI, focusing on semantic SEO beyond keywords and the importance of building authority through intent and context. It introduces the concept of topic clustering, a method that organises related content around a core subject to establish topical authority. The article outlines strategies for identifying content gaps, building pillar pages and subtopics, and ensuring depth and breadth in content creation to boost a site's relevance for related searches.</w:t>
      </w:r>
      <w:r/>
    </w:p>
    <w:p>
      <w:pPr>
        <w:pStyle w:val="ListNumber"/>
        <w:spacing w:line="240" w:lineRule="auto"/>
        <w:ind w:left="720"/>
      </w:pPr>
      <w:r/>
      <w:hyperlink r:id="rId13">
        <w:r>
          <w:rPr>
            <w:color w:val="0000EE"/>
            <w:u w:val="single"/>
          </w:rPr>
          <w:t>https://www.hashmeta.ai/blog/best-ai-tools-for-seo-the-ultimate-guide-for-forward-thinking-marketers</w:t>
        </w:r>
      </w:hyperlink>
      <w:r>
        <w:t xml:space="preserve"> - This guide presents standout AI content tools revolutionising SEO, with a focus on NeuralContent Pro and ContentEvolution AI. NeuralContent Pro is highlighted for its semantic content modelling, dynamic content adaptation, and multiformat optimisation, leading to significant reductions in content production time and higher ranking positions. ContentEvolution AI specialises in continuous content optimisation, ensuring existing content remains relevant and competitive as search patterns evolve. The article underscores the importance of leveraging AI tools to enhance SEO strategies in the modern digital landscape.</w:t>
      </w:r>
      <w:r/>
    </w:p>
    <w:p>
      <w:pPr>
        <w:pStyle w:val="ListNumber"/>
        <w:spacing w:line="240" w:lineRule="auto"/>
        <w:ind w:left="720"/>
      </w:pPr>
      <w:r/>
      <w:hyperlink r:id="rId14">
        <w:r>
          <w:rPr>
            <w:color w:val="0000EE"/>
            <w:u w:val="single"/>
          </w:rPr>
          <w:t>https://www.mrm.com/media/vpqdl2i3/20250916_09-brand-discoverability-in-the-ai-age.pdf</w:t>
        </w:r>
      </w:hyperlink>
      <w:r>
        <w:t xml:space="preserve"> - This report examines how AI is reshaping brand discoverability, emphasising the need for content that aligns with user intent, answers common questions succinctly, and demonstrates topical authority. It discusses the significance of semantic clarity, clear hierarchy, concise answers, credible context, and user signals in how information is ranked or surfaced in generative outputs. The document also highlights the importance of Experience, Expertise, Authoritativeness, and Trustworthiness (E-E-A-T) principles in enhancing visibility in AI-generated answers.</w:t>
      </w:r>
      <w:r/>
    </w:p>
    <w:p>
      <w:pPr>
        <w:pStyle w:val="ListNumber"/>
        <w:spacing w:line="240" w:lineRule="auto"/>
        <w:ind w:left="720"/>
      </w:pPr>
      <w:r/>
      <w:hyperlink r:id="rId12">
        <w:r>
          <w:rPr>
            <w:color w:val="0000EE"/>
            <w:u w:val="single"/>
          </w:rPr>
          <w:t>https://www.revvgrowth.com/ai-seo/ai-and-seo-integration</w:t>
        </w:r>
      </w:hyperlink>
      <w:r>
        <w:t xml:space="preserve"> - This article explores the integration of AI in SEO strategies, highlighting the declining value of legacy SEO tactics such as exact-match keyword stuffing and thin microsites. It discusses how AI-powered algorithms now analyse semantic context, user satisfaction signals, and topic coverage depth rather than just keyword frequency or domain metrics. The piece emphasises the need for content that aligns with user intent and demonstrates topic authority through depth and cohesion, as AI learns to mimic human evaluators.</w:t>
      </w:r>
      <w:r/>
    </w:p>
    <w:p>
      <w:pPr>
        <w:pStyle w:val="ListNumber"/>
        <w:spacing w:line="240" w:lineRule="auto"/>
        <w:ind w:left="720"/>
      </w:pPr>
      <w:r/>
      <w:hyperlink r:id="rId9">
        <w:r>
          <w:rPr>
            <w:color w:val="0000EE"/>
            <w:u w:val="single"/>
          </w:rPr>
          <w:t>https://www.growth-rocket.com/blog/semantic-search-optimization-for-ai-first-discovery/</w:t>
        </w:r>
      </w:hyperlink>
      <w:r>
        <w:t xml:space="preserve"> - This blog post delves into the shift from traditional SEO to AI-first discovery, highlighting the importance of content depth, expertise signals, and semantic relationships. It discusses strategies such as topic clustering, entity relationships, semantic markup, and structured data to establish domain expertise recognised by generative AI systems. The article also emphasises the need for consistency across multiple content touchpoints, citation networks, and expert validation to amplify authority signals in AI-driven search systems, and advocates for measurement frameworks that track AI platform visibility alongside traditional SEO metrics.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rowth-rocket.com/blog/semantic-search-optimization-for-ai-first-discovery/" TargetMode="External"/><Relationship Id="rId10" Type="http://schemas.openxmlformats.org/officeDocument/2006/relationships/hyperlink" Target="https://www.mediacollateral.com/how-gen-ai-is-revolutionising-seo/" TargetMode="External"/><Relationship Id="rId11" Type="http://schemas.openxmlformats.org/officeDocument/2006/relationships/hyperlink" Target="https://www.gryffin.com/blog/ai-article-seo" TargetMode="External"/><Relationship Id="rId12" Type="http://schemas.openxmlformats.org/officeDocument/2006/relationships/hyperlink" Target="https://www.revvgrowth.com/ai-seo/ai-and-seo-integration" TargetMode="External"/><Relationship Id="rId13" Type="http://schemas.openxmlformats.org/officeDocument/2006/relationships/hyperlink" Target="https://www.hashmeta.ai/blog/best-ai-tools-for-seo-the-ultimate-guide-for-forward-thinking-marketers" TargetMode="External"/><Relationship Id="rId14" Type="http://schemas.openxmlformats.org/officeDocument/2006/relationships/hyperlink" Target="https://www.mrm.com/media/vpqdl2i3/20250916_09-brand-discoverability-in-the-ai-age.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