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pharmaceutical investments with integrated risk management and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pharmaceutical and biotech sectors present investors with an unusually concentrated mixture of high capital intensity, long development timetables and binary outcomes: enormous upside for a successful product and near-total loss for programmes that fail. According to the original report, navigating that landscape requires an integrated, multi‑domain risk taxonomy that separates systematic market risks from the unsystematic, company‑ and asset‑specific threats that due diligence can materially influence. </w:t>
      </w:r>
      <w:hyperlink r:id="rId9">
        <w:r>
          <w:rPr>
            <w:color w:val="0000EE"/>
            <w:u w:val="single"/>
          </w:rPr>
          <w:t>[1]</w:t>
        </w:r>
      </w:hyperlink>
      <w:r/>
    </w:p>
    <w:p>
      <w:r/>
      <w:r>
        <w:t xml:space="preserve">A practical framework decomposes unsystematic risk into four interlocking pillars: clinical development, intellectual property, regulatory compliance, and market access and commercialisation. The report stresses that failure in any one pillar can render the rest moot , a safe, effective drug without enforceable patent protection or payer acceptance is still unlikely to deliver expected returns. </w:t>
      </w:r>
      <w:hyperlink r:id="rId9">
        <w:r>
          <w:rPr>
            <w:color w:val="0000EE"/>
            <w:u w:val="single"/>
          </w:rPr>
          <w:t>[1]</w:t>
        </w:r>
      </w:hyperlink>
      <w:r/>
    </w:p>
    <w:p>
      <w:r/>
      <w:r>
        <w:t xml:space="preserve">Clinical development remains the single largest source of value destruction. Historical benchmarks show steep attrition: roughly half of drugs move from Phase I to Phase II, but Phase II is the industry’s “valley of death”, with under 30% transition rates; overall likelihood of approval from Phase I sits below 10% across indications. The report argues for shifting from reactive, stage‑gate decision‑making to continuous, data‑driven lifecycle modelling that uses early‑phase data to stress‑test later‑stage scenarios. </w:t>
      </w:r>
      <w:hyperlink r:id="rId9">
        <w:r>
          <w:rPr>
            <w:color w:val="0000EE"/>
            <w:u w:val="single"/>
          </w:rPr>
          <w:t>[1]</w:t>
        </w:r>
      </w:hyperlink>
      <w:r/>
    </w:p>
    <w:p>
      <w:r/>
      <w:r>
        <w:t xml:space="preserve">Operational shortcomings , protocol design flaws, recruitment shortfalls, and poor data integrity , are common root causes of clinical failure and are increasingly addressable with predictive tools. Machine‑learning models and real‑world data now permit feasibility simulations, site‑selection optimisation and adherence monitoring that materially reduce the probability of costly trial amendments or inconclusive outcomes. The industry is moving toward predictive trial design rather than post‑hoc troubleshooting. </w:t>
      </w:r>
      <w:hyperlink r:id="rId9">
        <w:r>
          <w:rPr>
            <w:color w:val="0000EE"/>
            <w:u w:val="single"/>
          </w:rPr>
          <w:t>[1]</w:t>
        </w:r>
      </w:hyperlink>
      <w:r/>
    </w:p>
    <w:p>
      <w:r/>
      <w:r>
        <w:t xml:space="preserve">Intellectual property is the financial bedrock for most biotechs; patents are the de facto business model. The report cautions that a superficial focus on patent expiry dates is inadequate. Investors must evaluate claim breadth, freedom‑to‑operate, chain of title and alignment of patent term with commercial timelines, and adopt continuous monitoring for litigation, PTAB challenges and new filings that can erode exclusivity. Platforms that integrate global patent, litigation and regulatory data transform IP from a defensive checklist into an active strategic asset. </w:t>
      </w:r>
      <w:hyperlink r:id="rId9">
        <w:r>
          <w:rPr>
            <w:color w:val="0000EE"/>
            <w:u w:val="single"/>
          </w:rPr>
          <w:t>[1]</w:t>
        </w:r>
      </w:hyperlink>
      <w:r/>
    </w:p>
    <w:p>
      <w:r/>
      <w:r>
        <w:t xml:space="preserve">The predictable “patent cliff” remains a systemic risk: the loss of exclusivity for blockbusters can cause revenue collapses measured in tens of billions. The report emphasises lifecycle management, pipeline replacement and dynamic modelling of patent term adjustments and extensions as core components of valuation and portfolio stress‑testing. </w:t>
      </w:r>
      <w:hyperlink r:id="rId9">
        <w:r>
          <w:rPr>
            <w:color w:val="0000EE"/>
            <w:u w:val="single"/>
          </w:rPr>
          <w:t>[1]</w:t>
        </w:r>
      </w:hyperlink>
      <w:r/>
    </w:p>
    <w:p>
      <w:r/>
      <w:r>
        <w:t xml:space="preserve">Regulatory risk is broader than the final approval decision: manufacturing (GMP), trial conduct (GCP) and data integrity issues can trigger inspection findings, warning letters or Complete Response Letters that delay or derail launches. A proactive, cross‑functional quality management approach embedded through development , not deployed only at submission time , is presented as essential to mitigate these hazards. </w:t>
      </w:r>
      <w:hyperlink r:id="rId9">
        <w:r>
          <w:rPr>
            <w:color w:val="0000EE"/>
            <w:u w:val="single"/>
          </w:rPr>
          <w:t>[1]</w:t>
        </w:r>
      </w:hyperlink>
      <w:r/>
    </w:p>
    <w:p>
      <w:r/>
      <w:r>
        <w:t xml:space="preserve">Market access has become a gating factor for commercial success. Regulatory approval does not equate to market uptake; payers and HTA bodies demand evidence of clinical and economic value. The report notes that limited access is the leading cause of launch failure and that companies must integrate payer‑relevant endpoints, health‑economic evidence and real‑world data collection into trial design well before Phase III. </w:t>
      </w:r>
      <w:hyperlink r:id="rId9">
        <w:r>
          <w:rPr>
            <w:color w:val="0000EE"/>
            <w:u w:val="single"/>
          </w:rPr>
          <w:t>[1]</w:t>
        </w:r>
      </w:hyperlink>
      <w:r/>
    </w:p>
    <w:p>
      <w:r/>
      <w:r>
        <w:t xml:space="preserve">For modern portfolio construction, diversification must be redefined: true de‑risking combines therapeutic, modality and development‑stage diversification, and privileges assets with credible biomarker strategies, robust IP and clear payer value propositions. The report highlights that biomarker‑guided programmes deliver materially higher approval probabilities and therefore deserve disproportionate strategic weight. </w:t>
      </w:r>
      <w:hyperlink r:id="rId9">
        <w:r>
          <w:rPr>
            <w:color w:val="0000EE"/>
            <w:u w:val="single"/>
          </w:rPr>
          <w:t>[1]</w:t>
        </w:r>
      </w:hyperlink>
      <w:r/>
    </w:p>
    <w:p>
      <w:r/>
      <w:r>
        <w:t xml:space="preserve">A convergent technology layer , project and portfolio management systems, clinical and IP intelligence platforms, and AI‑driven analytics , is now the operational core of sophisticated risk assessment. These tools enable risk‑adjusted NPV and real‑options valuation, continuous monitoring and automated alerts that feed financial models and go/no‑go decisions. But the report warns cultural integration is the limiter: tools succeed only when organisations break data silos and adopt top‑down accountability for proactive risk management. </w:t>
      </w:r>
      <w:hyperlink r:id="rId9">
        <w:r>
          <w:rPr>
            <w:color w:val="0000EE"/>
            <w:u w:val="single"/>
          </w:rPr>
          <w:t>[1]</w:t>
        </w:r>
      </w:hyperlink>
      <w:r/>
    </w:p>
    <w:p>
      <w:r/>
      <w:r>
        <w:t xml:space="preserve">In sum, the future of pharmaceutical investing lies in an integrated, data‑first approach that converts uncertainty into quantified risk, aligns clinical design with payer needs, treats IP as a dynamic strategic input, and leverages AI and predictive analytics within a culture that prioritises cross‑functional transparency. When wielded strategically, the modern risk toolkit becomes an engine of value creation rather than merely a defensive shield.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(DrugPatentWatch) - Paragraph 1, Paragraph 2, Paragraph 3, Paragraph 4, Paragraph 5, Paragraph 6, Paragraph 7, Paragraph 8, Paragraph 9, Paragraph 10, Paragraph 11, Paragraph 12</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https://www.drugpatentwatch.com/blog/a-strategic-investors-guide-to-pharmaceutical-portfolio-risk-assessment/</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rugpatentwatch.com/blog/a-strategic-investors-guide-to-pharmaceutical-portfolio-risk-assessment/"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