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Europe diverge sharply on crypto regulation, signalling different future paths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compiled by Castle Labs and published on Panewslab, the regulatory trajectories for cryptocurrencies in the United States and Europe have diverged sharply: the United States is described as moving toward a pragmatic, innovation-friendly framework that seeks to fold crypto into mainstream finance, while Europe’s new rules risk imposing bank-grade burdens on nascent digital-asset firms and driving activity abroad. The report traces this shift through a timeline of policy interventions , from early U.S. agency guidance and tax rulings to 2024–25 legislative and administrative changes , and argues that institutionalisation, not prohibition, is now the dominant American strategy. </w:t>
      </w:r>
      <w:hyperlink r:id="rId9">
        <w:r>
          <w:rPr>
            <w:color w:val="0000EE"/>
            <w:u w:val="single"/>
          </w:rPr>
          <w:t>[1]</w:t>
        </w:r>
      </w:hyperlink>
      <w:r/>
    </w:p>
    <w:p>
      <w:r/>
      <w:r>
        <w:t xml:space="preserve">That narrative sits alongside a broader historical framing in the report: Bitcoin’s evolution from a hobbyist pursuit to a capital-intensive asset class has created systemic risks and political pressures reminiscent of the pre-1933 U.S. securities era, the authors contend. As regulators respond to the 2021–25 cycle of collapses and bankruptcies, U.S. policy makers are said to favour disclosure, market infrastructure and bank-like participation over blanket restrictions , an approach epitomised, in the report’s telling, by a series of 2025 developments including the GENIUS Act and administrative shifts in the Treasury and the SEC. The report views those changes as enabling institutional entry , from custody to collateralised lending , while preserving commercial freedom for custodians and trading venues. </w:t>
      </w:r>
      <w:hyperlink r:id="rId9">
        <w:r>
          <w:rPr>
            <w:color w:val="0000EE"/>
            <w:u w:val="single"/>
          </w:rPr>
          <w:t>[1]</w:t>
        </w:r>
      </w:hyperlink>
      <w:r/>
    </w:p>
    <w:p>
      <w:r/>
      <w:r>
        <w:t xml:space="preserve">The piece contrasts that pragmatism with the European approach embodied by the Markets in Crypto‑Assets regulation (MiCA). According to the report, MiCA’s harmonisation objective has been achieved at the cost of imposing capital, custody and prospectus-like requirements that treat crypto startups as if they were incumbent financial institutions. The result, the authors argue, is a regulatory moat that favors large incumbents and deters entrepreneurial builders, with strict rules on stablecoin backing, localisation of service providers and civil liability for disclosure failures. The report suggests those measures will raise compliance costs, curtail liquidity and encourage founders to relocate to friendlier jurisdictions. </w:t>
      </w:r>
      <w:hyperlink r:id="rId9">
        <w:r>
          <w:rPr>
            <w:color w:val="0000EE"/>
            <w:u w:val="single"/>
          </w:rPr>
          <w:t>[1]</w:t>
        </w:r>
      </w:hyperlink>
      <w:r/>
    </w:p>
    <w:p>
      <w:r/>
      <w:r>
        <w:t xml:space="preserve">Industry and regional nuance complicate that binary. Switzerland is highlighted in the report as an exemplar of a middle path: clear, technology‑aware legislation (including the DLT Act and dedicated AML rules), a unified supervisor and a pragmatic stance toward custody and market practice have made Swiss jurisdictions attractive for protocol development and institutional activity. The Panewslab piece argues that countries with legal clarity and lighter political baggage will capture the protocol layer, while consumer-facing on‑ramps and tax regimes will remain concentrated in the United States and, to a lesser extent, regulated European markets. </w:t>
      </w:r>
      <w:hyperlink r:id="rId9">
        <w:r>
          <w:rPr>
            <w:color w:val="0000EE"/>
            <w:u w:val="single"/>
          </w:rPr>
          <w:t>[1]</w:t>
        </w:r>
      </w:hyperlink>
      <w:r/>
    </w:p>
    <w:p>
      <w:r/>
      <w:r>
        <w:t xml:space="preserve">Energy and environmental considerations form an important adjunct to the regulatory debate. Independent energy trackers differ in their estimates, but recent metrics confirm Bitcoin mining consumes electricity at scales comparable to mid-sized national grids. One 2025 analysis estimated annualised consumption at about 173 terawatt-hours (TWh), roughly 0.5% of global electricity use and comparable to countries such as Poland or Ukraine, while other 2025 tallies put annual demand in the region of 140,000–173,000 GWh. Per‑coin energy footprints cited in reporting vary , figures around 854,400–900,000 kWh per Bitcoin mined are used in industry commentary , and indices that measure energy per coin have recently recorded values near or above 1,200–1,300 MWh per Bitcoin during periods of high network activity. Those differences reflect methodology, hardware assumptions and the network’s changing hashrate.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[7]</w:t>
        </w:r>
      </w:hyperlink>
      <w:r/>
    </w:p>
    <w:p>
      <w:r/>
      <w:r>
        <w:t xml:space="preserve">At the same time, available data show a notable shift toward cleaner sourcing within mining. One detailed 2025 assessment reported that renewable share in mining had risen to the low‑fifties percentage‑point mark from under 40% in 2022, indicating miners are increasingly locating where surplus or low‑carbon power exists and deploying on‑site renewables or flexible demand strategies. Regulators and policy makers are therefore confronting not only market structure questions but also the environmental externalities that accompany scaling. </w:t>
      </w:r>
      <w:hyperlink r:id="rId10">
        <w:r>
          <w:rPr>
            <w:color w:val="0000EE"/>
            <w:u w:val="single"/>
          </w:rPr>
          <w:t>[2]</w:t>
        </w:r>
      </w:hyperlink>
      <w:r/>
    </w:p>
    <w:p>
      <w:r/>
      <w:r>
        <w:t xml:space="preserve">The Panewslab report frames these technical and environmental realities as part of a political calculus: U.S. treasury and financial officials are portrayed as seeing stablecoins and custody demand as instruments that can support Treasury financing and extend dollar reach, while European authorities are characterised as more fearful of monetary substitution and systemic contagion. That tension is reflected in public statements from central banks and supervisory bodies warning about deposit displacement and cross‑jurisdictional run risks , concerns that informed the EU’s restrictive stablecoin provisions and limits on multi‑jurisdictional issuance. The report treats those interventions as protective but economically constraining. </w:t>
      </w:r>
      <w:hyperlink r:id="rId9">
        <w:r>
          <w:rPr>
            <w:color w:val="0000EE"/>
            <w:u w:val="single"/>
          </w:rPr>
          <w:t>[1]</w:t>
        </w:r>
      </w:hyperlink>
      <w:r/>
    </w:p>
    <w:p>
      <w:r/>
      <w:r>
        <w:t xml:space="preserve">The broader takeaways in the original piece are unequivocal in tone: regulators will centralise crypto activity through compliance, interoperability and institutional admission, and the geography of innovation will fracture. Founders and protocol teams, the authors predict, will prize legal certainty and predictable tax and custody regimes , pushing a bifurcation in which development hubs (Switzerland, Singapore, UAE and similar jurisdictions) host protocol engineering, while regulated markets handle retail access, custody and on‑ramps. The report warns that overly onerous EU rules risk turning Europe into a “financial museum,” a striking metaphor for what the authors see as regulatory overreach. </w:t>
      </w:r>
      <w:hyperlink r:id="rId9">
        <w:r>
          <w:rPr>
            <w:color w:val="0000EE"/>
            <w:u w:val="single"/>
          </w:rPr>
          <w:t>[1]</w:t>
        </w:r>
      </w:hyperlink>
      <w:r/>
    </w:p>
    <w:p>
      <w:r/>
      <w:r>
        <w:t xml:space="preserve">These conclusions invite qualification. Data on energy use, hardware efficiency and renewable sourcing show a sector in technological transition; regulatory outcomes will matter for where miners, custodians and exchanges choose to base operations, and multiple jurisdictions are still experimenting with licence models and sandbox regimes. Moreover, while legislative changes in the United States in 2025 have materially altered the operating landscape for stablecoins and custody, other key bills remain unsettled and administrative practice will determine implementation. Industry trackers and law firms continue to monitor developments closely as agencies translate policy into operational rules. </w:t>
      </w:r>
      <w:hyperlink r:id="rId12">
        <w:r>
          <w:rPr>
            <w:color w:val="0000EE"/>
            <w:u w:val="single"/>
          </w:rPr>
          <w:t>[4]</w:t>
        </w:r>
      </w:hyperlink>
      <w:hyperlink r:id="rId15">
        <w:r>
          <w:rPr>
            <w:color w:val="0000EE"/>
            <w:u w:val="single"/>
          </w:rPr>
          <w:t>[6]</w:t>
        </w:r>
      </w:hyperlink>
      <w:r/>
    </w:p>
    <w:p>
      <w:r/>
      <w:r>
        <w:t xml:space="preserve">If policymakers seek sustainable, competitive crypto markets, the combined lessons of market failures, environmental impact and international regulatory arbitrage suggest three priorities: clarity on asset classification and custody, proportionate disclosure regimes that do not replicate bank‑scale capital requirements for startups, and a measured approach to stablecoin design that balances monetary‑sovereignty concerns with liquidity and market utility. The original Panewslab report urges action on these lines and warns that delay risks both investor harm and the migration of talent and capital.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(Panewslab / Castle Labs) - Paragraph 1, Paragraph 2, Paragraph 3, Paragraph 4, Paragraph 7, Paragraph 8, Paragraph 9</w:t>
      </w:r>
      <w:r/>
    </w:p>
    <w:p>
      <w:pPr>
        <w:pStyle w:val="ListBullet"/>
        <w:spacing w:line="240" w:lineRule="auto"/>
        <w:ind w:left="720"/>
      </w:pPr>
      <w:r/>
      <w:hyperlink r:id="rId10">
        <w:r>
          <w:rPr>
            <w:color w:val="0000EE"/>
            <w:u w:val="single"/>
          </w:rPr>
          <w:t>[2]</w:t>
        </w:r>
      </w:hyperlink>
      <w:r>
        <w:t xml:space="preserve"> (SQ Magazine) - Paragraph 5, Paragraph 6</w:t>
      </w:r>
      <w:r/>
    </w:p>
    <w:p>
      <w:pPr>
        <w:pStyle w:val="ListBullet"/>
        <w:spacing w:line="240" w:lineRule="auto"/>
        <w:ind w:left="720"/>
      </w:pPr>
      <w:r/>
      <w:hyperlink r:id="rId11">
        <w:r>
          <w:rPr>
            <w:color w:val="0000EE"/>
            <w:u w:val="single"/>
          </w:rPr>
          <w:t>[3]</w:t>
        </w:r>
      </w:hyperlink>
      <w:r>
        <w:t xml:space="preserve"> (CompareForexBrokers) - Paragraph 5</w:t>
      </w:r>
      <w:r/>
    </w:p>
    <w:p>
      <w:pPr>
        <w:pStyle w:val="ListBullet"/>
        <w:spacing w:line="240" w:lineRule="auto"/>
        <w:ind w:left="720"/>
      </w:pPr>
      <w:r/>
      <w:hyperlink r:id="rId12">
        <w:r>
          <w:rPr>
            <w:color w:val="0000EE"/>
            <w:u w:val="single"/>
          </w:rPr>
          <w:t>[4]</w:t>
        </w:r>
      </w:hyperlink>
      <w:r>
        <w:t xml:space="preserve"> (S&amp;P Global / Energy) - Paragraph 5, Paragraph 9</w:t>
      </w:r>
      <w:r/>
    </w:p>
    <w:p>
      <w:pPr>
        <w:pStyle w:val="ListBullet"/>
        <w:spacing w:line="240" w:lineRule="auto"/>
        <w:ind w:left="720"/>
      </w:pPr>
      <w:r/>
      <w:hyperlink r:id="rId13">
        <w:r>
          <w:rPr>
            <w:color w:val="0000EE"/>
            <w:u w:val="single"/>
          </w:rPr>
          <w:t>[5]</w:t>
        </w:r>
      </w:hyperlink>
      <w:r>
        <w:t xml:space="preserve"> (ChainCatcher) - Paragraph 5</w:t>
      </w:r>
      <w:r/>
    </w:p>
    <w:p>
      <w:pPr>
        <w:pStyle w:val="ListBullet"/>
        <w:spacing w:line="240" w:lineRule="auto"/>
        <w:ind w:left="720"/>
      </w:pPr>
      <w:r/>
      <w:hyperlink r:id="rId15">
        <w:r>
          <w:rPr>
            <w:color w:val="0000EE"/>
            <w:u w:val="single"/>
          </w:rPr>
          <w:t>[6]</w:t>
        </w:r>
      </w:hyperlink>
      <w:r>
        <w:t xml:space="preserve"> (S&amp;P Global / Energy) - Paragraph 9</w:t>
      </w:r>
      <w:r/>
    </w:p>
    <w:p>
      <w:pPr>
        <w:pStyle w:val="ListBullet"/>
        <w:spacing w:line="240" w:lineRule="auto"/>
        <w:ind w:left="720"/>
      </w:pPr>
      <w:r/>
      <w:hyperlink r:id="rId14">
        <w:r>
          <w:rPr>
            <w:color w:val="0000EE"/>
            <w:u w:val="single"/>
          </w:rPr>
          <w:t>[7]</w:t>
        </w:r>
      </w:hyperlink>
      <w:r>
        <w:t xml:space="preserve"> (S&amp;P Global / Commodity Insights)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https://www.panewslab.com/en/articles/01aa2123-9dc2-4da1-a0de-63c7a1b39e28</w:t>
        </w:r>
      </w:hyperlink>
      <w:r>
        <w:t xml:space="preserve"> - Please view link - unable to able to access data</w:t>
      </w:r>
      <w:r/>
    </w:p>
    <w:p>
      <w:pPr>
        <w:pStyle w:val="ListNumber"/>
        <w:spacing w:line="240" w:lineRule="auto"/>
        <w:ind w:left="720"/>
      </w:pPr>
      <w:r/>
      <w:hyperlink r:id="rId10">
        <w:r>
          <w:rPr>
            <w:color w:val="0000EE"/>
            <w:u w:val="single"/>
          </w:rPr>
          <w:t>https://www.sqmagazine.co.uk/bitcoin-energy-consumption-statistics/</w:t>
        </w:r>
      </w:hyperlink>
      <w:r>
        <w:t xml:space="preserve"> - This article provides an in-depth analysis of Bitcoin's energy consumption in 2025, estimating an annualized usage of approximately 173 terawatt-hours (TWh). It highlights that Bitcoin mining now accounts for about 0.5% of global electricity consumption, drawing around 10 gigawatts (GW) of continuous power. The piece also discusses the environmental impact, noting that Bitcoin's energy use rivals that of countries like Poland or Ukraine, which consume between 155–172 TWh annually. Additionally, the article touches upon the shift towards renewable energy sources in mining operations, with renewable energy use reaching 52.4% in 2025, up from 37.6% in 2022.</w:t>
      </w:r>
      <w:r/>
    </w:p>
    <w:p>
      <w:pPr>
        <w:pStyle w:val="ListNumber"/>
        <w:spacing w:line="240" w:lineRule="auto"/>
        <w:ind w:left="720"/>
      </w:pPr>
      <w:r/>
      <w:hyperlink r:id="rId11">
        <w:r>
          <w:rPr>
            <w:color w:val="0000EE"/>
            <w:u w:val="single"/>
          </w:rPr>
          <w:t>https://www.compareforexbrokers.com/us/bitcoin-mining/</w:t>
        </w:r>
      </w:hyperlink>
      <w:r>
        <w:t xml:space="preserve"> - This article delves into the global energy consumption of Bitcoin mining in 2025, estimating a total electricity demand of approximately 140,336 gigawatt-hours (GWh) annually. It notes that mining a single Bitcoin now requires about 854,400 kilowatt-hours (kWh), equivalent to powering 81.37 average U.S. households for an entire year. The piece also provides a breakdown of power usage by country, highlighting that the United States, China, and Kazakhstan together account for over 75% of global Bitcoin mining electricity use. The article further discusses the implications of this energy consumption on national power grids and the environment.</w:t>
      </w:r>
      <w:r/>
    </w:p>
    <w:p>
      <w:pPr>
        <w:pStyle w:val="ListNumber"/>
        <w:spacing w:line="240" w:lineRule="auto"/>
        <w:ind w:left="720"/>
      </w:pPr>
      <w:r/>
      <w:hyperlink r:id="rId12">
        <w:r>
          <w:rPr>
            <w:color w:val="0000EE"/>
            <w:u w:val="single"/>
          </w:rPr>
          <w:t>https://www.spglobal.com/energy/en/news-research/latest-news/electric-power/020725-bitcoin-energy-consumption-index-slides-from-an-all-time-high</w:t>
        </w:r>
      </w:hyperlink>
      <w:r>
        <w:t xml:space="preserve"> - This article reports on the Bitcoin Energy Consumption Index, which measures the energy consumption per Bitcoin mined using a standard graphics card, the Antminer S19 Pro. The index had reached an all-time high of 1,312.07 megawatt-hours (MWh) per Bitcoin mined in early February 2025. The piece discusses how higher Bitcoin energy consumption indicates growing on-chain activity as more miners join the network, contributing to a rise in the hashrate. It also touches upon the implications of increased energy consumption on the environment and the need for sustainable mining practices.</w:t>
      </w:r>
      <w:r/>
    </w:p>
    <w:p>
      <w:pPr>
        <w:pStyle w:val="ListNumber"/>
        <w:spacing w:line="240" w:lineRule="auto"/>
        <w:ind w:left="720"/>
      </w:pPr>
      <w:r/>
      <w:hyperlink r:id="rId13">
        <w:r>
          <w:rPr>
            <w:color w:val="0000EE"/>
            <w:u w:val="single"/>
          </w:rPr>
          <w:t>https://www.chaincatcher.com/en/article/2100332</w:t>
        </w:r>
      </w:hyperlink>
      <w:r>
        <w:t xml:space="preserve"> - This article provides a comprehensive overview of Bitcoin mining's energy consumption, noting that in May 2023, Bitcoin mining was expected to consume approximately 95.58 TWh of electricity. It highlights that this consumption exceeds the total electricity consumption of Finland. The piece also compares the energy consumption of Bitcoin mining to that of various countries, ranking it 34th in the world, just behind the Netherlands and ahead of Kazakhstan. Additionally, the article discusses the environmental impact, noting that a single Bitcoin transaction requires 1,449 kWh of electricity, equivalent to the electricity consumption of an average American household over 50 days.</w:t>
      </w:r>
      <w:r/>
    </w:p>
    <w:p>
      <w:pPr>
        <w:pStyle w:val="ListNumber"/>
        <w:spacing w:line="240" w:lineRule="auto"/>
        <w:ind w:left="720"/>
      </w:pPr>
      <w:r/>
      <w:hyperlink r:id="rId15">
        <w:r>
          <w:rPr>
            <w:color w:val="0000EE"/>
            <w:u w:val="single"/>
          </w:rPr>
          <w:t>https://www.spglobal.com/energy/en/news-research/latest-news/electric-power/022825-bitcoin-energy-consumption-index-rebounds-from-monthly-low</w:t>
        </w:r>
      </w:hyperlink>
      <w:r>
        <w:t xml:space="preserve"> - This article reports on the Bitcoin Energy Consumption Index, which measures the energy consumption per Bitcoin mined using a standard graphics card, the Antminer S19 Pro. The index had rebounded from a monthly low of 1.17 GWh recorded on February 25, 2025. The piece discusses how the recent decline in Bitcoin prices, which had plummeted over 28% from an all-time high of $109,241 on January 20, led some miners to exit the network, causing a decrease in global Bitcoin computing power. It also touches upon the implications of increased energy consumption on the environment and the need for sustainable mining practices.</w:t>
      </w:r>
      <w:r/>
    </w:p>
    <w:p>
      <w:pPr>
        <w:pStyle w:val="ListNumber"/>
        <w:spacing w:line="240" w:lineRule="auto"/>
        <w:ind w:left="720"/>
      </w:pPr>
      <w:r/>
      <w:hyperlink r:id="rId14">
        <w:r>
          <w:rPr>
            <w:color w:val="0000EE"/>
            <w:u w:val="single"/>
          </w:rPr>
          <w:t>https://www.spglobal.com/commodity-insights/en/news-research/latest-news/electric-power/120624-bitcoin-energy-consumption-index-approaches-almost-all-time-high</w:t>
        </w:r>
      </w:hyperlink>
      <w:r>
        <w:t xml:space="preserve"> - This article reports on the Bitcoin Energy Consumption Index, which measures the energy consumption per Bitcoin mined using a standard graphics card, the Antminer S19 Pro. The index had approached an all-time high of 1,230 MWh per Bitcoin mined in early December 2024. The piece discusses how power price volatility continues to weigh on Bitcoin mining profitability, despite higher Bitcoin energy consumption and a rise in Bitcoin price to a new record all-time high. It also touches upon the implications of increased energy consumption on the environment and the need for sustainable mining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newslab.com/en/articles/01aa2123-9dc2-4da1-a0de-63c7a1b39e28" TargetMode="External"/><Relationship Id="rId10" Type="http://schemas.openxmlformats.org/officeDocument/2006/relationships/hyperlink" Target="https://www.sqmagazine.co.uk/bitcoin-energy-consumption-statistics/" TargetMode="External"/><Relationship Id="rId11" Type="http://schemas.openxmlformats.org/officeDocument/2006/relationships/hyperlink" Target="https://www.compareforexbrokers.com/us/bitcoin-mining/" TargetMode="External"/><Relationship Id="rId12" Type="http://schemas.openxmlformats.org/officeDocument/2006/relationships/hyperlink" Target="https://www.spglobal.com/energy/en/news-research/latest-news/electric-power/020725-bitcoin-energy-consumption-index-slides-from-an-all-time-high" TargetMode="External"/><Relationship Id="rId13" Type="http://schemas.openxmlformats.org/officeDocument/2006/relationships/hyperlink" Target="https://www.chaincatcher.com/en/article/2100332" TargetMode="External"/><Relationship Id="rId14" Type="http://schemas.openxmlformats.org/officeDocument/2006/relationships/hyperlink" Target="https://www.spglobal.com/commodity-insights/en/news-research/latest-news/electric-power/120624-bitcoin-energy-consumption-index-approaches-almost-all-time-high" TargetMode="External"/><Relationship Id="rId15" Type="http://schemas.openxmlformats.org/officeDocument/2006/relationships/hyperlink" Target="https://www.spglobal.com/energy/en/news-research/latest-news/electric-power/022825-bitcoin-energy-consumption-index-rebounds-from-monthly-l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