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financial services by shifting decision-making and forging new payment architectures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Agentic artificial intelligence is poised to redraw the architecture of financial services by shifting decision-making from fallible humans to autonomous, data‑driven agents that evaluate, select, authorise and execute transactions within user‑defined constraints. According to the original report, that shift does not so much remake payment rails as it remakes where intent is formed and executed , moving value toward those who control orchestration, execution and trust. </w:t>
      </w:r>
      <w:hyperlink r:id="rId9">
        <w:r>
          <w:rPr>
            <w:color w:val="0000EE"/>
            <w:u w:val="single"/>
          </w:rPr>
          <w:t>[1]</w:t>
        </w:r>
      </w:hyperlink>
      <w:r/>
    </w:p>
    <w:p>
      <w:r/>
      <w:r>
        <w:t xml:space="preserve">The scramble among platform and model providers to own that point of intent is already visible. Google, OpenAI, Visa and Mastercard have each introduced agent‑focused protocols , from Google’s AP2 work to OpenAI’s Agentic Commerce Protocol (ACP) built with Stripe, and card networks’ Trusted Agent frameworks , signalling a race to be the default relay between customers’ agents and commerce infrastructure. Industry data shows these efforts centre on embedding cryptographic identity, evidentiary chains and tokenised authorisation into familiar flows so autonomy can operate inside existing dispute and liability models. </w:t>
      </w:r>
      <w:hyperlink r:id="rId9">
        <w:r>
          <w:rPr>
            <w:color w:val="0000EE"/>
            <w:u w:val="single"/>
          </w:rPr>
          <w:t>[1]</w:t>
        </w:r>
      </w:hyperlink>
      <w:hyperlink r:id="rId10">
        <w:r>
          <w:rPr>
            <w:color w:val="0000EE"/>
            <w:u w:val="single"/>
          </w:rPr>
          <w:t>[3]</w:t>
        </w:r>
      </w:hyperlink>
      <w:r/>
    </w:p>
    <w:p>
      <w:r/>
      <w:r>
        <w:t xml:space="preserve">Beneath API calls and agent protocols, a new orchestration layer is emerging as the structural bottleneck. Middleware specialists are positioning themselves as the plumbing that lets agents interoperate with merchants’ systems without forcing retailers to become new platforms of record. As the lead article reported, this approach preserves merchant ownership of customer relationships and data while exposing a standard, machine‑readable interface against which agents transact. “The communication touch points might be changing over time versus what maybe they're used to, but the data and the relationship still sit with the merchant, because if you're shopping, you're buying a product with Best Buy. And you know that you're checking out with Best Buy, and if you have returns or exchanges, you go to Best Buy to do that; you're not going to the platform.” Scott Hendrickson, Chief Revenue Officer, firmly.ai, explained this logic. </w:t>
      </w:r>
      <w:hyperlink r:id="rId9">
        <w:r>
          <w:rPr>
            <w:color w:val="0000EE"/>
            <w:u w:val="single"/>
          </w:rPr>
          <w:t>[1]</w:t>
        </w:r>
      </w:hyperlink>
      <w:r/>
    </w:p>
    <w:p>
      <w:r/>
      <w:r>
        <w:t xml:space="preserve">The functional consequences for banks are sharper. Agentic systems compress discovery, comparison, authentication, payment, lending and post‑purchase management into continuous, machine‑mediated workflows , a direct attack on business models that rely on opacity, delay and behavioural inertia. McKinsey warns that early adopters could capture disproportionate advantage while laggards face shrinking profit pools; operational cost reductions from autonomous workflows will intensify competitive pressure. Reuters reporting from major US banks corroborates the productivity imperative, with several institutions already citing material gains from AI that will reshape staffing and operations. </w:t>
      </w:r>
      <w:hyperlink r:id="rId11">
        <w:r>
          <w:rPr>
            <w:color w:val="0000EE"/>
            <w:u w:val="single"/>
          </w:rPr>
          <w:t>[2]</w:t>
        </w:r>
      </w:hyperlink>
      <w:hyperlink r:id="rId12">
        <w:r>
          <w:rPr>
            <w:color w:val="0000EE"/>
            <w:u w:val="single"/>
          </w:rPr>
          <w:t>[4]</w:t>
        </w:r>
      </w:hyperlink>
      <w:r/>
    </w:p>
    <w:p>
      <w:r/>
      <w:r>
        <w:t xml:space="preserve">For incumbents, survival requires moving from obstruction to integration: standardised pricing, transparent eligibility rules, clean APIs and regulated trust services such as underwriting, identity and dispute resolution are potential roles where banks can add value inside agentic chains. “Agentic commerce creates new touchpoints where issuers can add value by approving agent permissions, issuing agentic tokens, and offering enhanced fraud detection and dispute resolution services… Banks that integrate with agent toolkits and provide clear consumer controls over agent permissions will be best placed to retain cardholder trust and capture value from new transaction flows,” James Fry, Head of Enterprise Product, Worldpay, told the original report. </w:t>
      </w:r>
      <w:hyperlink r:id="rId9">
        <w:r>
          <w:rPr>
            <w:color w:val="0000EE"/>
            <w:u w:val="single"/>
          </w:rPr>
          <w:t>[1]</w:t>
        </w:r>
      </w:hyperlink>
      <w:r/>
    </w:p>
    <w:p>
      <w:r/>
      <w:r>
        <w:t xml:space="preserve">Not everyone expects wholesale displacement overnight. Financial products are inherently more digital and thus faster to be optimised by agents than physical‑goods commerce, where brand, packaging and in‑person experience still matter. The lead article and industry playbooks from PwC and Capgemini argue the transition will be iterative: agents will first handle routine purchases and financial chores before moving to more complex planning and investment decisions, even as governance, data quality and ethical guardrails are worked out.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Regulation and liability remain unresolved fault lines. The sector is developing Know‑Your‑Agent standards and tokenisation schemes intended to create auditable trails and to let regulators and platforms verify agent permissions; yet questions persist about who ultimately bears responsibility when an autonomous agent errs , provider, platform or regulated institution. As the original analysis quoted Udayan Goyal, Co‑founder and Managing Partner at Apis Partners: “The biggest regulatory question that's going to come out of this is: who actually carries the liability in these situations? Is it the agent provider? Is it the platform hosting it, or is it the regulated institution executing the transaction? And I think it's going to be kind of all of those.” </w:t>
      </w:r>
      <w:hyperlink r:id="rId9">
        <w:r>
          <w:rPr>
            <w:color w:val="0000EE"/>
            <w:u w:val="single"/>
          </w:rPr>
          <w:t>[1]</w:t>
        </w:r>
      </w:hyperlink>
      <w:r/>
    </w:p>
    <w:p>
      <w:r/>
      <w:r>
        <w:t xml:space="preserve">Commercial players are already laying practical scaffolding. Mastercard’s Agent Pay Acceptance Framework, for example, aims to recognise trusted agents and enable tokenised transactions with minimal merchant effort by implementing Web Bot Auth at the CDN layer. Parallel initiatives from payments processors seek to embed agent identity and intent signals into existing authorisation flows so autonomy can be accommodated without fracturing commerce. The company Affirm’s CEO has likewise predicted that agentic AI will make shopping and payments far more transparent and automated, reducing capacity for hidden fees and opaque pricing. </w:t>
      </w:r>
      <w:hyperlink r:id="rId10">
        <w:r>
          <w:rPr>
            <w:color w:val="0000EE"/>
            <w:u w:val="single"/>
          </w:rPr>
          <w:t>[3]</w:t>
        </w:r>
      </w:hyperlink>
      <w:hyperlink r:id="rId15">
        <w:r>
          <w:rPr>
            <w:color w:val="0000EE"/>
            <w:u w:val="single"/>
          </w:rPr>
          <w:t>[5]</w:t>
        </w:r>
      </w:hyperlink>
      <w:r/>
    </w:p>
    <w:p>
      <w:r/>
      <w:r>
        <w:t xml:space="preserve">Venture capital and market forecasts underscore the urgency: projections in the lead article put agentic commerce at well over $100 billion annually, with substantial early‑stage funding targeting agent infrastructure. That backing reflects a broader industry view , set out in PwC and Capgemini reports , that agentic AI will be a strategic frontier for banking and fintech, promising efficiency and new product models but also requiring robust governance, data stewardship and ethical oversight.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The practical timetable remains a matter of debate among practitioners. Middleware executives sketch a multi‑year build cycle to reach meaningful volumes of agentic commerce, while some investors and operators expect everyday use much sooner for routine transactions. What is clear across reports and industry commentary is that agentic AI is not a marginal optimisation: it is a systemic re‑prizing of distribution and trust in financial services, and firms that neither adapt their technical stacks nor clarify their regulatory and commercial roles risk ceding both margins and customer relationships. </w:t>
      </w:r>
      <w:hyperlink r:id="rId9">
        <w:r>
          <w:rPr>
            <w:color w:val="0000EE"/>
            <w:u w:val="single"/>
          </w:rPr>
          <w:t>[1]</w:t>
        </w:r>
      </w:hyperlink>
      <w:hyperlink r:id="rId11">
        <w:r>
          <w:rPr>
            <w:color w:val="0000EE"/>
            <w:u w:val="single"/>
          </w:rPr>
          <w:t>[2]</w:t>
        </w:r>
      </w:hyperlink>
      <w:hyperlink r:id="rId13">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(Mondato) - Paragraph 1, Paragraph 2, Paragraph 3, Paragraph 4, Paragraph 5, Paragraph 7, Paragraph 9 </w:t>
      </w:r>
      <w:r/>
    </w:p>
    <w:p>
      <w:pPr>
        <w:pStyle w:val="ListBullet"/>
        <w:spacing w:line="240" w:lineRule="auto"/>
        <w:ind w:left="720"/>
      </w:pPr>
      <w:r/>
      <w:hyperlink r:id="rId10">
        <w:r>
          <w:rPr>
            <w:color w:val="0000EE"/>
            <w:u w:val="single"/>
          </w:rPr>
          <w:t>[3]</w:t>
        </w:r>
      </w:hyperlink>
      <w:r>
        <w:t xml:space="preserve"> (Mastercard) - Paragraph 2, Paragraph 8 </w:t>
      </w:r>
      <w:r/>
    </w:p>
    <w:p>
      <w:pPr>
        <w:pStyle w:val="ListBullet"/>
        <w:spacing w:line="240" w:lineRule="auto"/>
        <w:ind w:left="720"/>
      </w:pPr>
      <w:r/>
      <w:hyperlink r:id="rId11">
        <w:r>
          <w:rPr>
            <w:color w:val="0000EE"/>
            <w:u w:val="single"/>
          </w:rPr>
          <w:t>[2]</w:t>
        </w:r>
      </w:hyperlink>
      <w:r>
        <w:t xml:space="preserve"> (McKinsey &amp; Company) - Paragraph 4, Paragraph 10 </w:t>
      </w:r>
      <w:r/>
    </w:p>
    <w:p>
      <w:pPr>
        <w:pStyle w:val="ListBullet"/>
        <w:spacing w:line="240" w:lineRule="auto"/>
        <w:ind w:left="720"/>
      </w:pPr>
      <w:r/>
      <w:hyperlink r:id="rId12">
        <w:r>
          <w:rPr>
            <w:color w:val="0000EE"/>
            <w:u w:val="single"/>
          </w:rPr>
          <w:t>[4]</w:t>
        </w:r>
      </w:hyperlink>
      <w:r>
        <w:t xml:space="preserve"> (Reuters) - Paragraph 4 </w:t>
      </w:r>
      <w:r/>
    </w:p>
    <w:p>
      <w:pPr>
        <w:pStyle w:val="ListBullet"/>
        <w:spacing w:line="240" w:lineRule="auto"/>
        <w:ind w:left="720"/>
      </w:pPr>
      <w:r/>
      <w:hyperlink r:id="rId13">
        <w:r>
          <w:rPr>
            <w:color w:val="0000EE"/>
            <w:u w:val="single"/>
          </w:rPr>
          <w:t>[6]</w:t>
        </w:r>
      </w:hyperlink>
      <w:r>
        <w:t xml:space="preserve"> (PwC) - Paragraph 6, Paragraph 9, Paragraph 10 </w:t>
      </w:r>
      <w:r/>
    </w:p>
    <w:p>
      <w:pPr>
        <w:pStyle w:val="ListBullet"/>
        <w:spacing w:line="240" w:lineRule="auto"/>
        <w:ind w:left="720"/>
      </w:pPr>
      <w:r/>
      <w:hyperlink r:id="rId14">
        <w:r>
          <w:rPr>
            <w:color w:val="0000EE"/>
            <w:u w:val="single"/>
          </w:rPr>
          <w:t>[7]</w:t>
        </w:r>
      </w:hyperlink>
      <w:r>
        <w:t xml:space="preserve"> (Capgemini) - Paragraph 6, Paragraph 9 </w:t>
      </w:r>
      <w:r/>
    </w:p>
    <w:p>
      <w:pPr>
        <w:pStyle w:val="ListBullet"/>
        <w:spacing w:line="240" w:lineRule="auto"/>
        <w:ind w:left="720"/>
      </w:pPr>
      <w:r/>
      <w:hyperlink r:id="rId15">
        <w:r>
          <w:rPr>
            <w:color w:val="0000EE"/>
            <w:u w:val="single"/>
          </w:rPr>
          <w:t>[5]</w:t>
        </w:r>
      </w:hyperlink>
      <w:r>
        <w:t xml:space="preserve"> (Reuters/Affirm CEO)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https://blog.mondato.com/agentic-ai-and-the-remaking-of-the-financial-services-stack/</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https://www.mckinsey.com/industries/financial-services/our-insights/banking-matters/agentic-ai-will-shake-up-banking-shrinking-global-profit-pools</w:t>
        </w:r>
      </w:hyperlink>
      <w:r>
        <w:t xml:space="preserve"> - McKinsey &amp; Company discusses how agentic AI is poised to fundamentally change banking by enabling autonomous AI agents to perform complex workflows with minimal human intervention. Early adopters could gain a competitive edge, while others may face diminished profits. The article highlights the potential for operational cost reductions and the need for banks to adapt their business models to leverage these technologies effectively.</w:t>
      </w:r>
      <w:r/>
    </w:p>
    <w:p>
      <w:pPr>
        <w:pStyle w:val="ListNumber"/>
        <w:spacing w:line="240" w:lineRule="auto"/>
        <w:ind w:left="720"/>
      </w:pPr>
      <w:r/>
      <w:hyperlink r:id="rId10">
        <w:r>
          <w:rPr>
            <w:color w:val="0000EE"/>
            <w:u w:val="single"/>
          </w:rPr>
          <w:t>https://www.mastercard.com/us/en/news-and-trends/stories/2025/agentic-commerce-framework.html</w:t>
        </w:r>
      </w:hyperlink>
      <w:r>
        <w:t xml:space="preserve"> - Mastercard introduces its Agent Pay Acceptance Framework, designed to recognize trusted AI agents and facilitate secure, tokenized transactions. By implementing the Web Bot Auth standard at the Content Delivery Network layer, merchants can verify agent authenticity without deploying new code, ensuring seamless integration of agentic commerce.</w:t>
      </w:r>
      <w:r/>
    </w:p>
    <w:p>
      <w:pPr>
        <w:pStyle w:val="ListNumber"/>
        <w:spacing w:line="240" w:lineRule="auto"/>
        <w:ind w:left="720"/>
      </w:pPr>
      <w:r/>
      <w:hyperlink r:id="rId12">
        <w:r>
          <w:rPr>
            <w:color w:val="0000EE"/>
            <w:u w:val="single"/>
          </w:rPr>
          <w:t>https://www.reuters.com/business/finance/us-bank-executives-say-ai-will-boost-productivity-cut-jobs-2025-12-09/</w:t>
        </w:r>
      </w:hyperlink>
      <w:r>
        <w:t xml:space="preserve"> - Major U.S. banks, including JPMorgan Chase, Wells Fargo, Citigroup, PNC Financial, and Bank of America, report significant productivity gains due to AI adoption, with potential implications for job reductions. For instance, JPMorgan's Marianne Lake stated AI doubled the bank’s productivity from 3% to 6%, with operations specialists expected to see 40%-50% increases.</w:t>
      </w:r>
      <w:r/>
    </w:p>
    <w:p>
      <w:pPr>
        <w:pStyle w:val="ListNumber"/>
        <w:spacing w:line="240" w:lineRule="auto"/>
        <w:ind w:left="720"/>
      </w:pPr>
      <w:r/>
      <w:hyperlink r:id="rId15">
        <w:r>
          <w:rPr>
            <w:color w:val="0000EE"/>
            <w:u w:val="single"/>
          </w:rPr>
          <w:t>https://www.reuters.com/business/retail-consumer/ai-set-redefine-shopping-payments-affirm-ceo-says-2025-11-19/</w:t>
        </w:r>
      </w:hyperlink>
      <w:r>
        <w:t xml:space="preserve"> - Affirm CEO Max Levchin emphasizes that AI, particularly agentic AI with minimal human oversight, is set to significantly reshape shopping and payment landscapes. He predicts that AI agents will soon manage shopping and payment decisions for consumers, making financial products more transparent and eliminating deceptive practices like hidden fees and high interest rates.</w:t>
      </w:r>
      <w:r/>
    </w:p>
    <w:p>
      <w:pPr>
        <w:pStyle w:val="ListNumber"/>
        <w:spacing w:line="240" w:lineRule="auto"/>
        <w:ind w:left="720"/>
      </w:pPr>
      <w:r/>
      <w:hyperlink r:id="rId13">
        <w:r>
          <w:rPr>
            <w:color w:val="0000EE"/>
            <w:u w:val="single"/>
          </w:rPr>
          <w:t>https://www.pwc.com/m1/en/publications/documents/2024/agentic-ai-the-new-frontier-in-genai-an-executive-playbook.pdf</w:t>
        </w:r>
      </w:hyperlink>
      <w:r>
        <w:t xml:space="preserve"> - PwC's executive playbook explores the transformative potential of agentic AI in various sectors, including financial services. It discusses how agentic AI can enhance decision-making, improve efficiency, and drive innovation, while also addressing challenges such as data quality, ethical considerations, and the need for robust governance frameworks.</w:t>
      </w:r>
      <w:r/>
    </w:p>
    <w:p>
      <w:pPr>
        <w:pStyle w:val="ListNumber"/>
        <w:spacing w:line="240" w:lineRule="auto"/>
        <w:ind w:left="720"/>
      </w:pPr>
      <w:r/>
      <w:hyperlink r:id="rId14">
        <w:r>
          <w:rPr>
            <w:color w:val="0000EE"/>
            <w:u w:val="single"/>
          </w:rPr>
          <w:t>https://www.capgemini.com/insights/research-library/reimagining-financial-services-with-agentic-ai/</w:t>
        </w:r>
      </w:hyperlink>
      <w:r>
        <w:t xml:space="preserve"> - Capgemini examines how agentic AI is revolutionizing financial services by integrating intelligence and velocity into every phase of the software development lifecycle. The report highlights the acceleration of application modernization, cloud management, and the delivery of adaptive, resilient services to clients, emphasizing the need for financial institutions to embrace these technologies to remain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mondato.com/agentic-ai-and-the-remaking-of-the-financial-services-stack/" TargetMode="External"/><Relationship Id="rId10" Type="http://schemas.openxmlformats.org/officeDocument/2006/relationships/hyperlink" Target="https://www.mastercard.com/us/en/news-and-trends/stories/2025/agentic-commerce-framework.html" TargetMode="External"/><Relationship Id="rId11" Type="http://schemas.openxmlformats.org/officeDocument/2006/relationships/hyperlink" Target="https://www.mckinsey.com/industries/financial-services/our-insights/banking-matters/agentic-ai-will-shake-up-banking-shrinking-global-profit-pools" TargetMode="External"/><Relationship Id="rId12" Type="http://schemas.openxmlformats.org/officeDocument/2006/relationships/hyperlink" Target="https://www.reuters.com/business/finance/us-bank-executives-say-ai-will-boost-productivity-cut-jobs-2025-12-09/" TargetMode="External"/><Relationship Id="rId13" Type="http://schemas.openxmlformats.org/officeDocument/2006/relationships/hyperlink" Target="https://www.pwc.com/m1/en/publications/documents/2024/agentic-ai-the-new-frontier-in-genai-an-executive-playbook.pdf" TargetMode="External"/><Relationship Id="rId14" Type="http://schemas.openxmlformats.org/officeDocument/2006/relationships/hyperlink" Target="https://www.capgemini.com/insights/research-library/reimagining-financial-services-with-agentic-ai/" TargetMode="External"/><Relationship Id="rId15" Type="http://schemas.openxmlformats.org/officeDocument/2006/relationships/hyperlink" Target="https://www.reuters.com/business/retail-consumer/ai-set-redefine-shopping-payments-affirm-ceo-says-2025-11-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