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speed and security in cloud adoption requires strategic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modern drive for speed in business has made cloud services an operational imperative: instant capacity, global reach and rapid deployment underpin everything from retail peaks to data-driven product development. According to the original report in TimeLapse Magazine, that same velocity creates a widening gulf between innovation and governance, leaving misconfigurations and oversight gaps that cybercriminals are primed to exploit. </w:t>
      </w:r>
      <w:hyperlink r:id="rId9">
        <w:r>
          <w:rPr>
            <w:color w:val="0000EE"/>
            <w:u w:val="single"/>
          </w:rPr>
          <w:t>[1]</w:t>
        </w:r>
      </w:hyperlink>
      <w:r/>
    </w:p>
    <w:p>
      <w:r/>
      <w:r>
        <w:t xml:space="preserve">Agility and risk are two sides of the same coin. The ability to scale infrastructure up and down on demand delivers clear commercial benefits , but it also amplifies the pace at which errors propagate. Industry guidance notes that a single misconfigured script can expose sensitive data to the public internet in seconds; the solution is not to slow innovation but to embed security as an enabler of speed. PwC’s analysis of secure cloud adoption stresses that without effective governance and oversight organisations will not be able to manage the operational risks that accompany rapid cloud migration. </w:t>
      </w:r>
      <w:hyperlink r:id="rId9">
        <w:r>
          <w:rPr>
            <w:color w:val="0000EE"/>
            <w:u w:val="single"/>
          </w:rPr>
          <w:t>[1]</w:t>
        </w:r>
      </w:hyperlink>
      <w:hyperlink r:id="rId10">
        <w:r>
          <w:rPr>
            <w:color w:val="0000EE"/>
            <w:u w:val="single"/>
          </w:rPr>
          <w:t>[2]</w:t>
        </w:r>
      </w:hyperlink>
      <w:r/>
    </w:p>
    <w:p>
      <w:r/>
      <w:r>
        <w:t xml:space="preserve">Understanding where responsibilities lie is central. Gartner’s cloud security framework reiterates the shared responsibility model: cloud providers secure the underlying infrastructure, while customers retain responsibility for securing their applications, data and identities. Misunderstanding those boundaries , whether in IaaS, PaaS or SaaS deployments , is a recurring cause of breaches and compliance failures. The TimeLapse report echoes this, explaining how each service model shifts the security posture and the locus of control. </w:t>
      </w:r>
      <w:hyperlink r:id="rId11">
        <w:r>
          <w:rPr>
            <w:color w:val="0000EE"/>
            <w:u w:val="single"/>
          </w:rPr>
          <w:t>[3]</w:t>
        </w:r>
      </w:hyperlink>
      <w:hyperlink r:id="rId9">
        <w:r>
          <w:rPr>
            <w:color w:val="0000EE"/>
            <w:u w:val="single"/>
          </w:rPr>
          <w:t>[1]</w:t>
        </w:r>
      </w:hyperlink>
      <w:r/>
    </w:p>
    <w:p>
      <w:r/>
      <w:r>
        <w:t xml:space="preserve">Data sovereignty complicates the picture for organisations operating across jurisdictions. Cloud platforms distribute data for performance and resilience, but the legal regime that applies depends on physical location; data stored in one country may be subject to different rules than data stored in another. The TimeLapse piece recommends region‑pinning to meet regulatory requirements such as GDPR or CCPA, while analysts warn that multinational firms must design cloud architectures that enforce geofencing and retention rules to avoid fines and operational constraints. RiskInsightHub and PwC both highlight the governance and compliance work required to make cross‑border cloud use lawful and auditable. </w:t>
      </w:r>
      <w:hyperlink r:id="rId9">
        <w:r>
          <w:rPr>
            <w:color w:val="0000EE"/>
            <w:u w:val="single"/>
          </w:rPr>
          <w:t>[1]</w:t>
        </w:r>
      </w:hyperlink>
      <w:hyperlink r:id="rId12">
        <w:r>
          <w:rPr>
            <w:color w:val="0000EE"/>
            <w:u w:val="single"/>
          </w:rPr>
          <w:t>[7]</w:t>
        </w:r>
      </w:hyperlink>
      <w:hyperlink r:id="rId10">
        <w:r>
          <w:rPr>
            <w:color w:val="0000EE"/>
            <w:u w:val="single"/>
          </w:rPr>
          <w:t>[2]</w:t>
        </w:r>
      </w:hyperlink>
      <w:r/>
    </w:p>
    <w:p>
      <w:r/>
      <w:r>
        <w:t xml:space="preserve">Vendor lock‑in is as much a strategic vulnerability as a technical one. Building security around proprietary provider features can raise switching costs and constrain incident response options, a point emphasised by (ISC)² and echoed in industry commentary advocating cloud‑agnostic designs. A deliberate multi‑cloud or third‑party security approach , using open standards and portable controls , preserves negotiating leverage and operational freedom if performance, price or compliance needs change. </w:t>
      </w:r>
      <w:hyperlink r:id="rId13">
        <w:r>
          <w:rPr>
            <w:color w:val="0000EE"/>
            <w:u w:val="single"/>
          </w:rPr>
          <w:t>[5]</w:t>
        </w:r>
      </w:hyperlink>
      <w:hyperlink r:id="rId9">
        <w:r>
          <w:rPr>
            <w:color w:val="0000EE"/>
            <w:u w:val="single"/>
          </w:rPr>
          <w:t>[1]</w:t>
        </w:r>
      </w:hyperlink>
      <w:r/>
    </w:p>
    <w:p>
      <w:r/>
      <w:r>
        <w:t xml:space="preserve">The rise of Shadow IT remains a persistent blind spot. TimeLapse describes how easily departments can procure services outside IT’s oversight, creating unsanctioned data flows and inconsistent encryption or access controls. Security teams cannot protect assets they do not know about; therefore, combining network monitoring to detect unauthorised cloud traffic with a fast, collaborative vetting process for new tools is essential. OECD and RiskInsightHub guidance point to the need for policy, tooling and cultural change to bring decentralised innovation under controlled governance. </w:t>
      </w:r>
      <w:hyperlink r:id="rId9">
        <w:r>
          <w:rPr>
            <w:color w:val="0000EE"/>
            <w:u w:val="single"/>
          </w:rPr>
          <w:t>[1]</w:t>
        </w:r>
      </w:hyperlink>
      <w:hyperlink r:id="rId12">
        <w:r>
          <w:rPr>
            <w:color w:val="0000EE"/>
            <w:u w:val="single"/>
          </w:rPr>
          <w:t>[7]</w:t>
        </w:r>
      </w:hyperlink>
      <w:r/>
    </w:p>
    <w:p>
      <w:r/>
      <w:r>
        <w:t xml:space="preserve">Resilience against ransomware and destructive attacks requires architecture-level protections. The original report warns that attackers hunt for cloud credentials and backups; industry best practice now includes immutable or “write once, read many” storage and air‑gapped recovery copies so that a clean replica survives even if operational systems are compromised. SentinelOne’s overview of cloud risks and TimeLapse’s recommendations both underline that immutable backups and strict credential hygiene are critical to avoid paying ransoms and to restore operations quickly. </w:t>
      </w:r>
      <w:hyperlink r:id="rId14">
        <w:r>
          <w:rPr>
            <w:color w:val="0000EE"/>
            <w:u w:val="single"/>
          </w:rPr>
          <w:t>[4]</w:t>
        </w:r>
      </w:hyperlink>
      <w:hyperlink r:id="rId9">
        <w:r>
          <w:rPr>
            <w:color w:val="0000EE"/>
            <w:u w:val="single"/>
          </w:rPr>
          <w:t>[1]</w:t>
        </w:r>
      </w:hyperlink>
      <w:r/>
    </w:p>
    <w:p>
      <w:r/>
      <w:r>
        <w:t xml:space="preserve">Financial controls are part of security. “Denial of Wallet” attacks, where adversaries exploit auto‑scaling to drive up cloud bills, transform availability and confidentiality threats into direct monetary harm. Monitoring spend, applying quotas and alerting on anomalous cost spikes are therefore defensive measures as much as financial ones; professional advisers such as EY and PwC frame cost monitoring within broader cyber‑resilience programmes. </w:t>
      </w:r>
      <w:hyperlink r:id="rId9">
        <w:r>
          <w:rPr>
            <w:color w:val="0000EE"/>
            <w:u w:val="single"/>
          </w:rPr>
          <w:t>[1]</w:t>
        </w:r>
      </w:hyperlink>
      <w:hyperlink r:id="rId10">
        <w:r>
          <w:rPr>
            <w:color w:val="0000EE"/>
            <w:u w:val="single"/>
          </w:rPr>
          <w:t>[2]</w:t>
        </w:r>
      </w:hyperlink>
      <w:r/>
    </w:p>
    <w:p>
      <w:r/>
      <w:r>
        <w:t xml:space="preserve">Cloud services are foundational to modern business, but their promise depends on disciplined design and continuous governance. According to the original report, the objective is not to limit innovation but to make it irreversible: well‑integrated security controls, region‑aware data management, multi‑provider portability, visibility over shadow IT, immutable recovery and fiscal monitoring together create an environment where organisations can move fast without falling prey to predictable failures. Industry analyses urge boards and executive teams to treat cloud security as strategic , not solely a technical , responsibility.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(TimeLapse Magazine) - Paragraph 1, Paragraph 2, Paragraph 3, Paragraph 4, Paragraph 6, Paragraph 7, Paragraph 9 </w:t>
      </w:r>
      <w:r/>
    </w:p>
    <w:p>
      <w:pPr>
        <w:pStyle w:val="ListBullet"/>
        <w:spacing w:line="240" w:lineRule="auto"/>
        <w:ind w:left="720"/>
      </w:pPr>
      <w:r/>
      <w:hyperlink r:id="rId10">
        <w:r>
          <w:rPr>
            <w:color w:val="0000EE"/>
            <w:u w:val="single"/>
          </w:rPr>
          <w:t>[2]</w:t>
        </w:r>
      </w:hyperlink>
      <w:r>
        <w:t xml:space="preserve"> (PwC) - Paragraph 2, Paragraph 4, Paragraph 8, Paragraph 9 </w:t>
      </w:r>
      <w:r/>
    </w:p>
    <w:p>
      <w:pPr>
        <w:pStyle w:val="ListBullet"/>
        <w:spacing w:line="240" w:lineRule="auto"/>
        <w:ind w:left="720"/>
      </w:pPr>
      <w:r/>
      <w:hyperlink r:id="rId11">
        <w:r>
          <w:rPr>
            <w:color w:val="0000EE"/>
            <w:u w:val="single"/>
          </w:rPr>
          <w:t>[3]</w:t>
        </w:r>
      </w:hyperlink>
      <w:r>
        <w:t xml:space="preserve"> (Gartner) - Paragraph 3, Paragraph 9 </w:t>
      </w:r>
      <w:r/>
    </w:p>
    <w:p>
      <w:pPr>
        <w:pStyle w:val="ListBullet"/>
        <w:spacing w:line="240" w:lineRule="auto"/>
        <w:ind w:left="720"/>
      </w:pPr>
      <w:r/>
      <w:hyperlink r:id="rId14">
        <w:r>
          <w:rPr>
            <w:color w:val="0000EE"/>
            <w:u w:val="single"/>
          </w:rPr>
          <w:t>[4]</w:t>
        </w:r>
      </w:hyperlink>
      <w:r>
        <w:t xml:space="preserve"> (SentinelOne) - Paragraph 7 </w:t>
      </w:r>
      <w:r/>
    </w:p>
    <w:p>
      <w:pPr>
        <w:pStyle w:val="ListBullet"/>
        <w:spacing w:line="240" w:lineRule="auto"/>
        <w:ind w:left="720"/>
      </w:pPr>
      <w:r/>
      <w:hyperlink r:id="rId13">
        <w:r>
          <w:rPr>
            <w:color w:val="0000EE"/>
            <w:u w:val="single"/>
          </w:rPr>
          <w:t>[5]</w:t>
        </w:r>
      </w:hyperlink>
      <w:r>
        <w:t xml:space="preserve"> ((ISC)²) - Paragraph 5 </w:t>
      </w:r>
      <w:r/>
    </w:p>
    <w:p>
      <w:pPr>
        <w:pStyle w:val="ListBullet"/>
        <w:spacing w:line="240" w:lineRule="auto"/>
        <w:ind w:left="720"/>
      </w:pPr>
      <w:r/>
      <w:hyperlink r:id="rId12">
        <w:r>
          <w:rPr>
            <w:color w:val="0000EE"/>
            <w:u w:val="single"/>
          </w:rPr>
          <w:t>[7]</w:t>
        </w:r>
      </w:hyperlink>
      <w:r>
        <w:t xml:space="preserve"> (RiskInsightsHub) - Paragraph 4,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https://timelapsemagazine.com/cloud-services-and-security-what-every-business-must-understand/</w:t>
        </w:r>
      </w:hyperlink>
      <w:r>
        <w:t xml:space="preserve"> - Please view link - unable to able to access data</w:t>
      </w:r>
      <w:r/>
    </w:p>
    <w:p>
      <w:pPr>
        <w:pStyle w:val="ListNumber"/>
        <w:spacing w:line="240" w:lineRule="auto"/>
        <w:ind w:left="720"/>
      </w:pPr>
      <w:r/>
      <w:hyperlink r:id="rId10">
        <w:r>
          <w:rPr>
            <w:color w:val="0000EE"/>
            <w:u w:val="single"/>
          </w:rPr>
          <w:t>https://www.pwc.com/m1/en/publications/2025/docs/central-banks-and-secure-cloud-adoption.pdf</w:t>
        </w:r>
      </w:hyperlink>
      <w:r>
        <w:t xml:space="preserve"> - This PwC report discusses key implementation risks in cloud adoption, including lack of visibility and control, vendor lock-in, third-party risks, inadequate cloud security configurations, and challenges in identity and access management. It emphasizes the importance of understanding these risks to ensure secure and compliant cloud operations, particularly for financial institutions. The report also highlights the need for effective governance and oversight to mitigate potential vulnerabilities and ensure operational integrity in cloud environments.</w:t>
      </w:r>
      <w:r/>
    </w:p>
    <w:p>
      <w:pPr>
        <w:pStyle w:val="ListNumber"/>
        <w:spacing w:line="240" w:lineRule="auto"/>
        <w:ind w:left="720"/>
      </w:pPr>
      <w:r/>
      <w:hyperlink r:id="rId11">
        <w:r>
          <w:rPr>
            <w:color w:val="0000EE"/>
            <w:u w:val="single"/>
          </w:rPr>
          <w:t>https://www.gartner.com/en/cybersecurity/topics/cloud-security</w:t>
        </w:r>
      </w:hyperlink>
      <w:r>
        <w:t xml:space="preserve"> - Gartner's overview of cloud security outlines the benefits and risks associated with cloud computing. It highlights the shared responsibility model, where cloud service providers (CSPs) secure the infrastructure, and customers are responsible for securing their data and applications. The document also discusses potential risks such as wasted employee time, overspending, agility risks, security exposure, compliance complications, and program risks. It advises organizations to assess these factors when evaluating cloud security.</w:t>
      </w:r>
      <w:r/>
    </w:p>
    <w:p>
      <w:pPr>
        <w:pStyle w:val="ListNumber"/>
        <w:spacing w:line="240" w:lineRule="auto"/>
        <w:ind w:left="720"/>
      </w:pPr>
      <w:r/>
      <w:hyperlink r:id="rId14">
        <w:r>
          <w:rPr>
            <w:color w:val="0000EE"/>
            <w:u w:val="single"/>
          </w:rPr>
          <w:t>https://www.sentinelone.com/cybersecurity-101/cloud-security/security-risks-of-cloud-computing/</w:t>
        </w:r>
      </w:hyperlink>
      <w:r>
        <w:t xml:space="preserve"> - SentinelOne's article identifies 17 security risks associated with cloud computing, including expanded attack surfaces, the shared responsibility model, data breaches, and compliance challenges. It emphasizes the need for organizations to understand these risks to implement effective security measures. The article also discusses the importance of monitoring cloud environments and adopting best practices to mitigate potential threats, ensuring the security and integrity of cloud-based operations.</w:t>
      </w:r>
      <w:r/>
    </w:p>
    <w:p>
      <w:pPr>
        <w:pStyle w:val="ListNumber"/>
        <w:spacing w:line="240" w:lineRule="auto"/>
        <w:ind w:left="720"/>
      </w:pPr>
      <w:r/>
      <w:hyperlink r:id="rId13">
        <w:r>
          <w:rPr>
            <w:color w:val="0000EE"/>
            <w:u w:val="single"/>
          </w:rPr>
          <w:t>https://www.isc2.org/insights/2024/04/cloud-exit-strategies-avoiding-vendor-lock-in</w:t>
        </w:r>
      </w:hyperlink>
      <w:r>
        <w:t xml:space="preserve"> - This article from (ISC)² discusses the risks of vendor lock-in in cloud computing, where organizations become dependent on a single cloud service provider, making it difficult to switch providers without significant costs or technical challenges. It suggests adopting a multi-cloud strategy and using cloud-agnostic architectures to mitigate this risk. The article also highlights the importance of developing cloud exit strategies to maintain flexibility and avoid potential disruptions in cloud services.</w:t>
      </w:r>
      <w:r/>
    </w:p>
    <w:p>
      <w:pPr>
        <w:pStyle w:val="ListNumber"/>
        <w:spacing w:line="240" w:lineRule="auto"/>
        <w:ind w:left="720"/>
      </w:pPr>
      <w:r/>
      <w:hyperlink r:id="rId16">
        <w:r>
          <w:rPr>
            <w:color w:val="0000EE"/>
            <w:u w:val="single"/>
          </w:rPr>
          <w:t>https://www.jscmgroup.com/cybersecurity411/essential-cloud-security-risks-ceos-cant-afford-to-ignore</w:t>
        </w:r>
      </w:hyperlink>
      <w:r>
        <w:t xml:space="preserve"> - JSCM Group's article outlines essential cloud security risks that CEOs should be aware of, including interdependencies driven by cloud adoption, vendor lock-in costs, and the shared responsibility model leading to blind spots and compliance risks. It emphasizes the need for organizations to understand these risks to implement effective security measures and maintain compliance. The article also discusses the importance of strategic planning and oversight in cloud security to protect organizational assets.</w:t>
      </w:r>
      <w:r/>
    </w:p>
    <w:p>
      <w:pPr>
        <w:pStyle w:val="ListNumber"/>
        <w:spacing w:line="240" w:lineRule="auto"/>
        <w:ind w:left="720"/>
      </w:pPr>
      <w:r/>
      <w:hyperlink r:id="rId12">
        <w:r>
          <w:rPr>
            <w:color w:val="0000EE"/>
            <w:u w:val="single"/>
          </w:rPr>
          <w:t>https://www.riskinsightshub.com/2025/05/data-sovereignty-cloud-compliance.html</w:t>
        </w:r>
      </w:hyperlink>
      <w:r>
        <w:t xml:space="preserve"> - This article discusses challenges in cloud governance, particularly in regulated industries or multinational environments. It highlights issues such as vendor lock-in and portability concerns, where organizations find it difficult to migrate data and services between cloud providers due to proprietary technologies. The article also addresses the problem of shadow IT, where employees use unauthorized cloud services, creating blind spots in data governance and potential compliance violations.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lapsemagazine.com/cloud-services-and-security-what-every-business-must-understand/" TargetMode="External"/><Relationship Id="rId10" Type="http://schemas.openxmlformats.org/officeDocument/2006/relationships/hyperlink" Target="https://www.pwc.com/m1/en/publications/2025/docs/central-banks-and-secure-cloud-adoption.pdf" TargetMode="External"/><Relationship Id="rId11" Type="http://schemas.openxmlformats.org/officeDocument/2006/relationships/hyperlink" Target="https://www.gartner.com/en/cybersecurity/topics/cloud-security" TargetMode="External"/><Relationship Id="rId12" Type="http://schemas.openxmlformats.org/officeDocument/2006/relationships/hyperlink" Target="https://www.riskinsightshub.com/2025/05/data-sovereignty-cloud-compliance.html" TargetMode="External"/><Relationship Id="rId13" Type="http://schemas.openxmlformats.org/officeDocument/2006/relationships/hyperlink" Target="https://www.isc2.org/insights/2024/04/cloud-exit-strategies-avoiding-vendor-lock-in" TargetMode="External"/><Relationship Id="rId14" Type="http://schemas.openxmlformats.org/officeDocument/2006/relationships/hyperlink" Target="https://www.sentinelone.com/cybersecurity-101/cloud-security/security-risks-of-cloud-computing/" TargetMode="External"/><Relationship Id="rId15" Type="http://schemas.openxmlformats.org/officeDocument/2006/relationships/hyperlink" Target="https://www.noahwire.com" TargetMode="External"/><Relationship Id="rId16" Type="http://schemas.openxmlformats.org/officeDocument/2006/relationships/hyperlink" Target="https://www.jscmgroup.com/cybersecurity411/essential-cloud-security-risks-ceos-cant-afford-to-ign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