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banking accelerates AI adoption despite regulatory concerns and regional disparities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2025, artificial intelligence and automation have shifted from experimentation to operational reality across global finance, reshaping how banks process transactions, manage risk and interact with customers. According to the original report, industry surveys show widespread AI use for core functions , from transaction processing and credit assessment to fraud detection , and market research firms project robust growth in AI investment within banking this year.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Adoption is uneven by function and region. Industry data shows that by the third quarter of 2025 some 43% of banks had deployed AI for internal, back‑office purposes while a smaller share , roughly 9% , had moved AI into customer‑facing systems such as chatbots and automated service channels. Europe remains relatively advanced in deployment, while North America continues to lead in market value and investment. </w:t>
      </w:r>
      <w:hyperlink r:id="rId12">
        <w:r>
          <w:rPr>
            <w:color w:val="0000EE"/>
            <w:u w:val="single"/>
          </w:rPr>
          <w:t>[2]</w:t>
        </w:r>
      </w:hyperlink>
      <w:hyperlink r:id="rId11">
        <w:r>
          <w:rPr>
            <w:color w:val="0000EE"/>
            <w:u w:val="single"/>
          </w:rPr>
          <w:t>[4]</w:t>
        </w:r>
      </w:hyperlink>
      <w:hyperlink r:id="rId13">
        <w:r>
          <w:rPr>
            <w:color w:val="0000EE"/>
            <w:u w:val="single"/>
          </w:rPr>
          <w:t>[5]</w:t>
        </w:r>
      </w:hyperlink>
      <w:r/>
    </w:p>
    <w:p>
      <w:r/>
      <w:r>
        <w:t xml:space="preserve">The commercial case is clear: analysts estimate sizable near‑term economic benefits from AI. Consultancy research indicates that AI could drive double‑digit efficiency improvements and materially reduce operating costs , McKinsey modelling cited in financial commentary suggests potential net cost reductions up to about 20% for banks , though competition and customer pass‑through may temper industry‑wide gains. Market forecasts point to rapid expansion of generative AI and related services in finance through this decade. </w:t>
      </w:r>
      <w:hyperlink r:id="rId14">
        <w:r>
          <w:rPr>
            <w:color w:val="0000EE"/>
            <w:u w:val="single"/>
          </w:rPr>
          <w:t>[6]</w:t>
        </w:r>
      </w:hyperlink>
      <w:hyperlink r:id="rId15">
        <w:r>
          <w:rPr>
            <w:color w:val="0000EE"/>
            <w:u w:val="single"/>
          </w:rPr>
          <w:t>[7]</w:t>
        </w:r>
      </w:hyperlink>
      <w:hyperlink r:id="rId11">
        <w:r>
          <w:rPr>
            <w:color w:val="0000EE"/>
            <w:u w:val="single"/>
          </w:rPr>
          <w:t>[4]</w:t>
        </w:r>
      </w:hyperlink>
      <w:r/>
    </w:p>
    <w:p>
      <w:r/>
      <w:r>
        <w:t xml:space="preserve">Regulators and international institutions have urged caution even as banks scale AI. The OECD and the Bank for International Settlements have warned that widespread reliance on similar AI models, third‑party data sources and centralised cloud infrastructure could create systemic vulnerabilities: model failures or homogenised decision‑making might amplify market stress, raise contagion risks and complicate supervisory oversight. The OECD also highlights ethical, privacy and transparency concerns as firms apply generative AI across credit decisions, compliance and client engagement. </w:t>
      </w:r>
      <w:hyperlink r:id="rId9">
        <w:r>
          <w:rPr>
            <w:color w:val="0000EE"/>
            <w:u w:val="single"/>
          </w:rPr>
          <w:t>[1]</w:t>
        </w:r>
      </w:hyperlink>
      <w:r/>
    </w:p>
    <w:p>
      <w:r/>
      <w:r>
        <w:t xml:space="preserve">For Vietnam, the global AI wave presents both opportunity and risk. According to the original report, domestic banks, fintechs and payments providers are accelerating digital transformation; senior banking figures observed that an increasing share of sales and service interactions are now completed fully on digital platforms, a shift attributed in part to AI‑enabled automation and personalisation. Industry practitioners argue this drives faster credit adjudication, broader non‑cash payments and improved customer reach. </w:t>
      </w:r>
      <w:hyperlink r:id="rId9">
        <w:r>
          <w:rPr>
            <w:color w:val="0000EE"/>
            <w:u w:val="single"/>
          </w:rPr>
          <w:t>[1]</w:t>
        </w:r>
      </w:hyperlink>
      <w:r/>
    </w:p>
    <w:p>
      <w:r/>
      <w:r>
        <w:t xml:space="preserve">Vietnamese lenders and foreign banks operating locally are pursuing diverse strategies. The lead coverage notes active investment by major domestic banks and partnerships between foreign banks and startups , for example a foreign bank’s innovation programme has co‑developed proofs‑of‑concept with fintechs to pilot AI, digital identity and automated credit processes, while local tie‑ups are blending investment and brokerage services into mobile banking apps. The company said in a statement that such collaborations aim to lift efficiency, lower operating costs and broaden customer offerings. </w:t>
      </w:r>
      <w:hyperlink r:id="rId9">
        <w:r>
          <w:rPr>
            <w:color w:val="0000EE"/>
            <w:u w:val="single"/>
          </w:rPr>
          <w:t>[1]</w:t>
        </w:r>
      </w:hyperlink>
      <w:r/>
    </w:p>
    <w:p>
      <w:r/>
      <w:r>
        <w:t xml:space="preserve">Yet constraints remain. Analysts and international studies stress that effective AI deployment requires high‑quality data, strong cybersecurity, clear governance and an appropriate regulatory framework. Vietnam’s financial system, still integrating with global markets, faces exposure to macroeconomic headwinds , global growth downgrades, trade tensions and inflationary pressures noted by international institutions , which could limit the pace and benefit of digital transformation unless accompanied by robust risk management and oversight. </w:t>
      </w:r>
      <w:hyperlink r:id="rId9">
        <w:r>
          <w:rPr>
            <w:color w:val="0000EE"/>
            <w:u w:val="single"/>
          </w:rPr>
          <w:t>[1]</w:t>
        </w:r>
      </w:hyperlink>
      <w:hyperlink r:id="rId13">
        <w:r>
          <w:rPr>
            <w:color w:val="0000EE"/>
            <w:u w:val="single"/>
          </w:rPr>
          <w:t>[5]</w:t>
        </w:r>
      </w:hyperlink>
      <w:r/>
    </w:p>
    <w:p>
      <w:r/>
      <w:r>
        <w:t xml:space="preserve">Policymakers and industry leaders in Vietnam are therefore being urged to strike a balance: harness AI to expand financial inclusion and productivity gains while strengthening data governance, model validation, and market surveillance to contain systemic and operational risks. Industry analysis suggests that, with prudent regulation and sustained investment, AI can underpin a more efficient, inclusive and competitive Vietnamese financial sector , but the transition will require coordinated action from banks, fintech partners and regulators. </w:t>
      </w:r>
      <w:hyperlink r:id="rId9">
        <w:r>
          <w:rPr>
            <w:color w:val="0000EE"/>
            <w:u w:val="single"/>
          </w:rPr>
          <w:t>[1]</w:t>
        </w:r>
      </w:hyperlink>
      <w:hyperlink r:id="rId10">
        <w:r>
          <w:rPr>
            <w:color w:val="0000EE"/>
            <w:u w:val="single"/>
          </w:rPr>
          <w:t>[3]</w:t>
        </w:r>
      </w:hyperlink>
      <w:hyperlink r:id="rId12">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(xaluannews.com) - Paragraph 1, Paragraph 5, Paragraph 6, Paragraph 7, Paragraph 8 </w:t>
      </w:r>
      <w:r/>
    </w:p>
    <w:p>
      <w:pPr>
        <w:pStyle w:val="ListBullet"/>
        <w:spacing w:line="240" w:lineRule="auto"/>
        <w:ind w:left="720"/>
      </w:pPr>
      <w:r/>
      <w:hyperlink r:id="rId10">
        <w:r>
          <w:rPr>
            <w:color w:val="0000EE"/>
            <w:u w:val="single"/>
          </w:rPr>
          <w:t>[3]</w:t>
        </w:r>
      </w:hyperlink>
      <w:r>
        <w:t xml:space="preserve"> (S&amp;P Global) - Paragraph 1, Paragraph 8 </w:t>
      </w:r>
      <w:r/>
    </w:p>
    <w:p>
      <w:pPr>
        <w:pStyle w:val="ListBullet"/>
        <w:spacing w:line="240" w:lineRule="auto"/>
        <w:ind w:left="720"/>
      </w:pPr>
      <w:r/>
      <w:hyperlink r:id="rId12">
        <w:r>
          <w:rPr>
            <w:color w:val="0000EE"/>
            <w:u w:val="single"/>
          </w:rPr>
          <w:t>[2]</w:t>
        </w:r>
      </w:hyperlink>
      <w:r>
        <w:t xml:space="preserve"> (Asian Banking &amp; Finance) - Paragraph 2, Paragraph 9 </w:t>
      </w:r>
      <w:r/>
    </w:p>
    <w:p>
      <w:pPr>
        <w:pStyle w:val="ListBullet"/>
        <w:spacing w:line="240" w:lineRule="auto"/>
        <w:ind w:left="720"/>
      </w:pPr>
      <w:r/>
      <w:hyperlink r:id="rId11">
        <w:r>
          <w:rPr>
            <w:color w:val="0000EE"/>
            <w:u w:val="single"/>
          </w:rPr>
          <w:t>[4]</w:t>
        </w:r>
      </w:hyperlink>
      <w:r>
        <w:t xml:space="preserve"> (GlobeNewswire) - Paragraph 1, Paragraph 2, Paragraph 3 </w:t>
      </w:r>
      <w:r/>
    </w:p>
    <w:p>
      <w:pPr>
        <w:pStyle w:val="ListBullet"/>
        <w:spacing w:line="240" w:lineRule="auto"/>
        <w:ind w:left="720"/>
      </w:pPr>
      <w:r/>
      <w:hyperlink r:id="rId13">
        <w:r>
          <w:rPr>
            <w:color w:val="0000EE"/>
            <w:u w:val="single"/>
          </w:rPr>
          <w:t>[5]</w:t>
        </w:r>
      </w:hyperlink>
      <w:r>
        <w:t xml:space="preserve"> (AllAboutAI) - Paragraph 2, Paragraph 7 </w:t>
      </w:r>
      <w:r/>
    </w:p>
    <w:p>
      <w:pPr>
        <w:pStyle w:val="ListBullet"/>
        <w:spacing w:line="240" w:lineRule="auto"/>
        <w:ind w:left="720"/>
      </w:pPr>
      <w:r/>
      <w:hyperlink r:id="rId14">
        <w:r>
          <w:rPr>
            <w:color w:val="0000EE"/>
            <w:u w:val="single"/>
          </w:rPr>
          <w:t>[6]</w:t>
        </w:r>
      </w:hyperlink>
      <w:r>
        <w:t xml:space="preserve"> (Yahoo Finance / McKinsey) - Paragraph 3 </w:t>
      </w:r>
      <w:r/>
    </w:p>
    <w:p>
      <w:pPr>
        <w:pStyle w:val="ListBullet"/>
        <w:spacing w:line="240" w:lineRule="auto"/>
        <w:ind w:left="720"/>
      </w:pPr>
      <w:r/>
      <w:hyperlink r:id="rId15">
        <w:r>
          <w:rPr>
            <w:color w:val="0000EE"/>
            <w:u w:val="single"/>
          </w:rPr>
          <w:t>[7]</w:t>
        </w:r>
      </w:hyperlink>
      <w:r>
        <w:t xml:space="preserve"> (Morgan Stanley)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https://www.xaluannews.com/modules.php?name=News&amp;file=article&amp;sid=3732607</w:t>
        </w:r>
      </w:hyperlink>
      <w:r>
        <w:t xml:space="preserve"> - Please view link - unable to able to access data</w:t>
      </w:r>
      <w:r/>
    </w:p>
    <w:p>
      <w:pPr>
        <w:pStyle w:val="ListNumber"/>
        <w:spacing w:line="240" w:lineRule="auto"/>
        <w:ind w:left="720"/>
      </w:pPr>
      <w:r/>
      <w:hyperlink r:id="rId12">
        <w:r>
          <w:rPr>
            <w:color w:val="0000EE"/>
            <w:u w:val="single"/>
          </w:rPr>
          <w:t>https://asianbankingandfinance.net/banking-technology/in-focus/banks-ai-adoption-shape-cost-and-revenue-advantage</w:t>
        </w:r>
      </w:hyperlink>
      <w:r>
        <w:t xml:space="preserve"> - An article from Asian Banking &amp; Finance discusses the global adoption of AI in the banking sector. As of Q3 2025, 43% of banks have implemented AI internally, while 9% have deployed it in customer-facing systems. The piece highlights the uneven deployment across functions and regions, noting that Europe leads in AI adoption. It also mentions that nearly 50% of financial institutions are using or developing generative AI systems for internal use, aiming to enhance process automation and efficiency.</w:t>
      </w:r>
      <w:r/>
    </w:p>
    <w:p>
      <w:pPr>
        <w:pStyle w:val="ListNumber"/>
        <w:spacing w:line="240" w:lineRule="auto"/>
        <w:ind w:left="720"/>
      </w:pPr>
      <w:r/>
      <w:hyperlink r:id="rId10">
        <w:r>
          <w:rPr>
            <w:color w:val="0000EE"/>
            <w:u w:val="single"/>
          </w:rPr>
          <w:t>https://www.spglobal.com/en/research-insights/special-reports/ai-and-banking-leaders-will-soon-pull-away-from-the-pack</w:t>
        </w:r>
      </w:hyperlink>
      <w:r>
        <w:t xml:space="preserve"> - S&amp;P Global's report examines the financial services sector's role as an early adopter of AI. By January 2025, 54% of surveyed financial services companies had deployed AI initiatives, surpassing the 46% average across all business sectors. The report notes that traditional AI, such as supervised and unsupervised machine learning, remains central to many financial services' AI initiatives, primarily used to simplify operations and enhance fraud and risk management practices.</w:t>
      </w:r>
      <w:r/>
    </w:p>
    <w:p>
      <w:pPr>
        <w:pStyle w:val="ListNumber"/>
        <w:spacing w:line="240" w:lineRule="auto"/>
        <w:ind w:left="720"/>
      </w:pPr>
      <w:r/>
      <w:hyperlink r:id="rId11">
        <w:r>
          <w:rPr>
            <w:color w:val="0000EE"/>
            <w:u w:val="single"/>
          </w:rPr>
          <w:t>https://www.globenewswire.com/news-release/2025/06/03/3092942/0/en/Generative-Artificial-Intelligence-Al-in-Banking-and-Finance-Market-Report-2025-21-5-Bn-Opportunities-and-Strategies-to-2034-Fintech-Adoption-of-Al-Expected-to-Grow-Over-40.html</w:t>
        </w:r>
      </w:hyperlink>
      <w:r>
        <w:t xml:space="preserve"> - A report from GlobeNewswire projects significant growth in the generative AI market within banking and finance, estimating an increase from $1.29 billion in 2024 to $21.57 billion by 2034, at a compound annual growth rate (CAGR) of 31.64%. The report attributes this growth to AI adoption, digital transformation, and data security, with North America leading the market. Key growth areas include natural language processing, cloud-based models, and fintech solutions.</w:t>
      </w:r>
      <w:r/>
    </w:p>
    <w:p>
      <w:pPr>
        <w:pStyle w:val="ListNumber"/>
        <w:spacing w:line="240" w:lineRule="auto"/>
        <w:ind w:left="720"/>
      </w:pPr>
      <w:r/>
      <w:hyperlink r:id="rId13">
        <w:r>
          <w:rPr>
            <w:color w:val="0000EE"/>
            <w:u w:val="single"/>
          </w:rPr>
          <w:t>https://www.allaboutai.com/resources/ai-statistics/ai-in-banking/</w:t>
        </w:r>
      </w:hyperlink>
      <w:r>
        <w:t xml:space="preserve"> - An article from AllAboutAI analyses the rapid growth of AI in the banking sector. The global market was valued at $34.58 billion in 2025, reflecting a 32% increase from the previous year. The piece highlights that North America commands approximately 45% of the global AI in banking market, followed by Europe at 25-30% and Asia Pacific at 20-25%. It also notes that major banks now allocate between 14-20% of their noninterest expenses to technology, with AI-specific spending projected to exceed $73 billion by the end of 2025.</w:t>
      </w:r>
      <w:r/>
    </w:p>
    <w:p>
      <w:pPr>
        <w:pStyle w:val="ListNumber"/>
        <w:spacing w:line="240" w:lineRule="auto"/>
        <w:ind w:left="720"/>
      </w:pPr>
      <w:r/>
      <w:hyperlink r:id="rId14">
        <w:r>
          <w:rPr>
            <w:color w:val="0000EE"/>
            <w:u w:val="single"/>
          </w:rPr>
          <w:t>https://finance.yahoo.com/news/ai-adoption-trim-banking-industry-070000966.html</w:t>
        </w:r>
      </w:hyperlink>
      <w:r>
        <w:t xml:space="preserve"> - An article from Yahoo Finance discusses a McKinsey &amp; Company report predicting that AI adoption could lead to up to 20% net cost reductions for banks. The report suggests that while AI-driven cost savings are expected, competition may erode these gains, and savings could be passed on to customers rather than the industry. The article also notes that the banking industry's net income reached $1.2 trillion in 2024, the highest among all industries.</w:t>
      </w:r>
      <w:r/>
    </w:p>
    <w:p>
      <w:pPr>
        <w:pStyle w:val="ListNumber"/>
        <w:spacing w:line="240" w:lineRule="auto"/>
        <w:ind w:left="720"/>
      </w:pPr>
      <w:r/>
      <w:hyperlink r:id="rId15">
        <w:r>
          <w:rPr>
            <w:color w:val="0000EE"/>
            <w:u w:val="single"/>
          </w:rPr>
          <w:t>https://www.morganstanley.com/insights/articles/ai-workplace-outlook-2H-2025</w:t>
        </w:r>
      </w:hyperlink>
      <w:r>
        <w:t xml:space="preserve"> - Morgan Stanley's article explores the potential impact of AI adoption across S&amp;P 500 companies. It suggests that full AI adoption could add up to an annual net benefit of $920 billion, potentially increasing the market cap of the S&amp;P 500 by 24% to 29%. The analysis indicates that 90% of occupations may be affected by AI to some degree, with agentic AI contributing $490 billion and embodied AI contributing $430 billion to the projected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aluannews.com/modules.php?name=News&amp;file=article&amp;sid=3732607" TargetMode="External"/><Relationship Id="rId10" Type="http://schemas.openxmlformats.org/officeDocument/2006/relationships/hyperlink" Target="https://www.spglobal.com/en/research-insights/special-reports/ai-and-banking-leaders-will-soon-pull-away-from-the-pack" TargetMode="External"/><Relationship Id="rId11" Type="http://schemas.openxmlformats.org/officeDocument/2006/relationships/hyperlink" Target="https://www.globenewswire.com/news-release/2025/06/03/3092942/0/en/Generative-Artificial-Intelligence-Al-in-Banking-and-Finance-Market-Report-2025-21-5-Bn-Opportunities-and-Strategies-to-2034-Fintech-Adoption-of-Al-Expected-to-Grow-Over-40.html" TargetMode="External"/><Relationship Id="rId12" Type="http://schemas.openxmlformats.org/officeDocument/2006/relationships/hyperlink" Target="https://asianbankingandfinance.net/banking-technology/in-focus/banks-ai-adoption-shape-cost-and-revenue-advantage" TargetMode="External"/><Relationship Id="rId13" Type="http://schemas.openxmlformats.org/officeDocument/2006/relationships/hyperlink" Target="https://www.allaboutai.com/resources/ai-statistics/ai-in-banking/" TargetMode="External"/><Relationship Id="rId14" Type="http://schemas.openxmlformats.org/officeDocument/2006/relationships/hyperlink" Target="https://finance.yahoo.com/news/ai-adoption-trim-banking-industry-070000966.html" TargetMode="External"/><Relationship Id="rId15" Type="http://schemas.openxmlformats.org/officeDocument/2006/relationships/hyperlink" Target="https://www.morganstanley.com/insights/articles/ai-workplace-outlook-2H-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