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Stablecoins' rapid growth disrupts mainstream payments and market structures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rapid maturation of stablecoins is reshaping how value moves online, turning a once-niche crypto instrument into an increasingly mainstream settlement layer for payments, remittances and financial services. Industry data shows stablecoin transfer volumes have surged into the tens of trillions of dollars annually, dwarfing many legacy payment networks and forcing banks, fintechs and regulators to confront a new payments reality. According to recent reports, stablecoin payments reached several trillion dollars in 2024–25 and, by some measures, processed roughly $46 trillion over a recent 12‑month period , volumes that rival or exceed those of PayPal, Visa and other incumbents.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[7]</w:t>
        </w:r>
      </w:hyperlink>
      <w:r/>
    </w:p>
    <w:p>
      <w:r/>
      <w:r>
        <w:t xml:space="preserve">The central operational challenge is no longer transaction speed or cost , many stablecoin transfers settle in under a second for fractions of a cent , but building reliable on‑ and off‑ramps between digital dollars and the fiat rails people use every day. According to the original report, a new generation of startups is addressing that gap by cryptographically linking local account balances to on‑chain dollars, integrating with regional real‑time payment systems and QR/code rails, and issuing interoperable wallets and cards that let merchants accept stablecoins without complex integrations. These channels aim to make stablecoins fungible with local payment experiences , wages, merchant receipts and everyday consumer payments , and to broaden reach where traditional banking is thin. </w:t>
      </w:r>
      <w:hyperlink r:id="rId9">
        <w:r>
          <w:rPr>
            <w:color w:val="0000EE"/>
            <w:u w:val="single"/>
          </w:rPr>
          <w:t>[1]</w:t>
        </w:r>
      </w:hyperlink>
      <w:r/>
    </w:p>
    <w:p>
      <w:r/>
      <w:r>
        <w:t xml:space="preserve">Beyond payments, the tokenisation of real‑world assets (RWA) and the rise of crypto‑native derivatives are reshaping market structure. The original analysis observes a meaningful appetite among banks, asset managers and fintechs to put equities, bonds and other assets on chain, but warns that mere tokenisation can be superficial unless it embraces crypto‑native designs. Industry voices in that report argue synthetic products such as perpetual contracts offer deeper liquidity and clearer product‑market fit for many asset classes, with emerging‑market equities highlighted as particularly suitable for “perpetual contractification.” Concurrently, the piece predicts more stablecoins will be “natively issued, not just tokenized,” even as narrow, asset‑backed designs without broader credit infrastructures may remain limited in their long‑term role. </w:t>
      </w:r>
      <w:hyperlink r:id="rId9">
        <w:r>
          <w:rPr>
            <w:color w:val="0000EE"/>
            <w:u w:val="single"/>
          </w:rPr>
          <w:t>[1]</w:t>
        </w:r>
      </w:hyperlink>
      <w:r/>
    </w:p>
    <w:p>
      <w:r/>
      <w:r>
        <w:t xml:space="preserve">Stablecoins are also catalysing hefty legacy modernization inside financial institutions. The original report notes that much of the world’s banking infrastructure still runs on decades‑old core ledgers and mainframes; tokenised liabilities and on‑chain settlement provide a way for banks and fintechs to pilot new products without wholesale rewrites. As more institutions experiment with tokenised deposits, on‑chain bonds and asset‑backed tokens, stablecoins offer a pragmatic path to faster settlement, new customer propositions and programmable liquidity while allowing traditional systems to remain in place. </w:t>
      </w:r>
      <w:hyperlink r:id="rId9">
        <w:r>
          <w:rPr>
            <w:color w:val="0000EE"/>
            <w:u w:val="single"/>
          </w:rPr>
          <w:t>[1]</w:t>
        </w:r>
      </w:hyperlink>
      <w:r/>
    </w:p>
    <w:p>
      <w:r/>
      <w:r>
        <w:t xml:space="preserve">Looking further ahead, the interplay of programmable money and autonomous software , AI agents that can transact on behalf of users , will demand new identity and control paradigms. The report argues that “Know Your Agent” credentials, cryptographically bound to an agent’s authority and limits, will be required before merchants and platforms will permit automated actors to move value. It also forecasts primitives that make settlement responsive and permissionless , enabling agents to pay for compute, data or services in real time without conventional invoicing or reconciliation , effectively blurring the line between the internet’s information and value layers. </w:t>
      </w:r>
      <w:hyperlink r:id="rId9">
        <w:r>
          <w:rPr>
            <w:color w:val="0000EE"/>
            <w:u w:val="single"/>
          </w:rPr>
          <w:t>[1]</w:t>
        </w:r>
      </w:hyperlink>
      <w:r/>
    </w:p>
    <w:p>
      <w:r/>
      <w:r>
        <w:t xml:space="preserve">Those technological shifts carry attendant privacy, security and regulatory consequences. The original analysis stresses privacy as a competitive moat for on‑chain finance and warns of metadata leakage when crossing private and public domains. It calls for “privacy as a service,” robust runtime guardrails and principled security practices , moving from “code is law” to “rules are law” by encoding invariant checks and dynamic assertions that automatically block unsafe transactions. At the same time, the piece highlights a pending regulatory inflection point: clearer legal frameworks, it argues, would reduce perverse incentives and help align token design, governance and corporate structures with durable market practices. </w:t>
      </w:r>
      <w:hyperlink r:id="rId9">
        <w:r>
          <w:rPr>
            <w:color w:val="0000EE"/>
            <w:u w:val="single"/>
          </w:rPr>
          <w:t>[1]</w:t>
        </w:r>
      </w:hyperlink>
      <w:r/>
    </w:p>
    <w:p>
      <w:r/>
      <w:r>
        <w:t xml:space="preserve">Finally, tokenisation and stablecoins are poised to democratise wealth management and new media economies. As more asset classes are made programmatically accessible, personalised, actively managed portfolios , combining tokenised bonds, equities and private assets with automated rebalancing , could become widely available at far lower cost. Parallel innovations, such as auditable token‑backed commitments and prediction markets, may reshape how credibility and analysis are signalled in public discourse. The report sees these developments as complementary: they expand investment access while creating new, verifiable ways for commentators and platforms to align stakes and incentives.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(PANewsLab / a16z compilation) - Paragraph 1, Paragraph 2, Paragraph 3, Paragraph 4, Paragraph 5, Paragraph 6, Paragraph 7 </w:t>
      </w:r>
      <w:r/>
    </w:p>
    <w:p>
      <w:pPr>
        <w:pStyle w:val="ListBullet"/>
        <w:spacing w:line="240" w:lineRule="auto"/>
        <w:ind w:left="720"/>
      </w:pPr>
      <w:r/>
      <w:hyperlink r:id="rId10">
        <w:r>
          <w:rPr>
            <w:color w:val="0000EE"/>
            <w:u w:val="single"/>
          </w:rPr>
          <w:t>[2]</w:t>
        </w:r>
      </w:hyperlink>
      <w:r>
        <w:t xml:space="preserve"> (Yahoo Finance) - Paragraph 1 </w:t>
      </w:r>
      <w:r/>
    </w:p>
    <w:p>
      <w:pPr>
        <w:pStyle w:val="ListBullet"/>
        <w:spacing w:line="240" w:lineRule="auto"/>
        <w:ind w:left="720"/>
      </w:pPr>
      <w:r/>
      <w:hyperlink r:id="rId11">
        <w:r>
          <w:rPr>
            <w:color w:val="0000EE"/>
            <w:u w:val="single"/>
          </w:rPr>
          <w:t>[3]</w:t>
        </w:r>
      </w:hyperlink>
      <w:r>
        <w:t xml:space="preserve"> (CoinNews / CryptoSlate summaries) - Paragraph 1 </w:t>
      </w:r>
      <w:r/>
    </w:p>
    <w:p>
      <w:pPr>
        <w:pStyle w:val="ListBullet"/>
        <w:spacing w:line="240" w:lineRule="auto"/>
        <w:ind w:left="720"/>
      </w:pPr>
      <w:r/>
      <w:hyperlink r:id="rId12">
        <w:r>
          <w:rPr>
            <w:color w:val="0000EE"/>
            <w:u w:val="single"/>
          </w:rPr>
          <w:t>[4]</w:t>
        </w:r>
      </w:hyperlink>
      <w:r>
        <w:t xml:space="preserve"> (CryptoSlate) - Paragraph 1 </w:t>
      </w:r>
      <w:r/>
    </w:p>
    <w:p>
      <w:pPr>
        <w:pStyle w:val="ListBullet"/>
        <w:spacing w:line="240" w:lineRule="auto"/>
        <w:ind w:left="720"/>
      </w:pPr>
      <w:r/>
      <w:hyperlink r:id="rId13">
        <w:r>
          <w:rPr>
            <w:color w:val="0000EE"/>
            <w:u w:val="single"/>
          </w:rPr>
          <w:t>[7]</w:t>
        </w:r>
      </w:hyperlink>
      <w:r>
        <w:t xml:space="preserve"> (KuCoin report) - Paragraph 1</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https://www.panewslab.com/en/articles/b803be9d-d47e-4a76-b13d-b3f9f4f1c737</w:t>
        </w:r>
      </w:hyperlink>
      <w:r>
        <w:t xml:space="preserve"> - Please view link - unable to able to access data</w:t>
      </w:r>
      <w:r/>
    </w:p>
    <w:p>
      <w:pPr>
        <w:pStyle w:val="ListNumber"/>
        <w:spacing w:line="240" w:lineRule="auto"/>
        <w:ind w:left="720"/>
      </w:pPr>
      <w:r/>
      <w:hyperlink r:id="rId10">
        <w:r>
          <w:rPr>
            <w:color w:val="0000EE"/>
            <w:u w:val="single"/>
          </w:rPr>
          <w:t>https://finance.yahoo.com/news/stablecoin-payments-hit-9-trillion-042534119.html</w:t>
        </w:r>
      </w:hyperlink>
      <w:r>
        <w:t xml:space="preserve"> - In 2025, stablecoin payments reached $9 trillion, rivaling global giants like PayPal and Visa. This surge highlights the growing role of stablecoins in global finance, with transactions settling in less than a second and costing less than a cent. The increased adoption of stablecoins signifies a shift towards digital currencies in mainstream payment systems, offering faster and more cost-effective alternatives to traditional financial networks. The report underscores the expanding influence of stablecoins in the financial sector, indicating a transformative period for digital payments.</w:t>
      </w:r>
      <w:r/>
    </w:p>
    <w:p>
      <w:pPr>
        <w:pStyle w:val="ListNumber"/>
        <w:spacing w:line="240" w:lineRule="auto"/>
        <w:ind w:left="720"/>
      </w:pPr>
      <w:r/>
      <w:hyperlink r:id="rId11">
        <w:r>
          <w:rPr>
            <w:color w:val="0000EE"/>
            <w:u w:val="single"/>
          </w:rPr>
          <w:t>https://coinnews.com/news/cryptocurrency/stablecoin-transactions-surpass-visa-and-mastercard-a-shift-in-digital-payments/</w:t>
        </w:r>
      </w:hyperlink>
      <w:r>
        <w:t xml:space="preserve"> - In 2024, stablecoin transfers reached $27.6 trillion, surpassing the combined transaction volume of Visa and Mastercard by 7.68%. This milestone underscores the rapid adoption of stablecoins in the global financial ecosystem, indicating a significant shift towards digital currencies. The growth reflects increasing trust and integration of stablecoins into various financial applications, including remittances and decentralized finance. The report highlights the evolving landscape of digital payments and the pivotal role of stablecoins in shaping the future of global finance.</w:t>
      </w:r>
      <w:r/>
    </w:p>
    <w:p>
      <w:pPr>
        <w:pStyle w:val="ListNumber"/>
        <w:spacing w:line="240" w:lineRule="auto"/>
        <w:ind w:left="720"/>
      </w:pPr>
      <w:r/>
      <w:hyperlink r:id="rId12">
        <w:r>
          <w:rPr>
            <w:color w:val="0000EE"/>
            <w:u w:val="single"/>
          </w:rPr>
          <w:t>https://cryptoslate.com/usdt-supply-surpasses-150-billion-as-stablecoins-outpace-mainstream-giants-visa-paypal/</w:t>
        </w:r>
      </w:hyperlink>
      <w:r>
        <w:t xml:space="preserve"> - Tether's USD (USDT) has surpassed $150 billion in circulating supply, with stablecoins averaging over $521 billion in weekly transfer volumes in 2025. This performance exceeds the combined weekly volumes of Visa and PayPal, which averaged $319 billion and $32 billion, respectively. The growth is attributed to global demand from over 400 million users, highlighting the increasing dominance of stablecoins in transactional finance. The data reflects a significant shift in the financial landscape, with stablecoins playing a central role in global payment systems.</w:t>
      </w:r>
      <w:r/>
    </w:p>
    <w:p>
      <w:pPr>
        <w:pStyle w:val="ListNumber"/>
        <w:spacing w:line="240" w:lineRule="auto"/>
        <w:ind w:left="720"/>
      </w:pPr>
      <w:r/>
      <w:hyperlink r:id="rId15">
        <w:r>
          <w:rPr>
            <w:color w:val="0000EE"/>
            <w:u w:val="single"/>
          </w:rPr>
          <w:t>https://cointelegraph.com/news/stablecoins-beat-visa-mastercard-2024-volume/</w:t>
        </w:r>
      </w:hyperlink>
      <w:r>
        <w:t xml:space="preserve"> - In 2024, stablecoin transfer volumes surpassed those of Visa and Mastercard combined, reaching $27.6 trillion. This significant milestone indicates the rapid adoption and integration of stablecoins into the global financial system. The increased use of bots, especially on platforms like Solana and Base, has been a major catalyst amplifying stablecoin transfer volume. The dominance of Tether’s USDt (USDT), accounting for 79.7% of stablecoin trading volume on average, underscores the growing influence of stablecoins in the financial sector.</w:t>
      </w:r>
      <w:r/>
    </w:p>
    <w:p>
      <w:pPr>
        <w:pStyle w:val="ListNumber"/>
        <w:spacing w:line="240" w:lineRule="auto"/>
        <w:ind w:left="720"/>
      </w:pPr>
      <w:r/>
      <w:hyperlink r:id="rId16">
        <w:r>
          <w:rPr>
            <w:color w:val="0000EE"/>
            <w:u w:val="single"/>
          </w:rPr>
          <w:t>https://cryptoslate.com/stablecoins-surpass-visa-and-mastercard-with-27-6-trillion-transfer-volume-in-2024/</w:t>
        </w:r>
      </w:hyperlink>
      <w:r>
        <w:t xml:space="preserve"> - Stablecoin transfers reached $27.6 trillion in 2024, surpassing the combined transaction volume of Visa and Mastercard by 7.68%. This growth reflects the increasing adoption of stablecoins in global payments and decentralized finance. The supply of stablecoins expanded by 59% during this period, exceeding $200 billion, and now represents 1% of the total US dollar supply. The dominance of Circle’s USDC, accounting for 70% of total transfer volume, highlights the significant role of stablecoins in the evolving financial landscape.</w:t>
      </w:r>
      <w:r/>
    </w:p>
    <w:p>
      <w:pPr>
        <w:pStyle w:val="ListNumber"/>
        <w:spacing w:line="240" w:lineRule="auto"/>
        <w:ind w:left="720"/>
      </w:pPr>
      <w:r/>
      <w:hyperlink r:id="rId13">
        <w:r>
          <w:rPr>
            <w:color w:val="0000EE"/>
            <w:u w:val="single"/>
          </w:rPr>
          <w:t>https://www.kucoin.com/news/flash/stablecoin-volume-hits-46t-surpassing-visa-and-closing-in-on-ach</w:t>
        </w:r>
      </w:hyperlink>
      <w:r>
        <w:t xml:space="preserve"> - Stablecoins processed $46 trillion in transaction volume over the past year, nearly three times the volume handled by Visa and approaching the Automated Clearing House (ACH) network. This growth highlights the increasing role of stablecoins in global finance, with applications expanding beyond crypto trading to remittances, business payments, and decentralized finance. The surge in volume reflects growing trust in crypto-based financial infrastructure and is expected to drive further regulatory attention and adoption.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anewslab.com/en/articles/b803be9d-d47e-4a76-b13d-b3f9f4f1c737" TargetMode="External"/><Relationship Id="rId10" Type="http://schemas.openxmlformats.org/officeDocument/2006/relationships/hyperlink" Target="https://finance.yahoo.com/news/stablecoin-payments-hit-9-trillion-042534119.html" TargetMode="External"/><Relationship Id="rId11" Type="http://schemas.openxmlformats.org/officeDocument/2006/relationships/hyperlink" Target="https://coinnews.com/news/cryptocurrency/stablecoin-transactions-surpass-visa-and-mastercard-a-shift-in-digital-payments/" TargetMode="External"/><Relationship Id="rId12" Type="http://schemas.openxmlformats.org/officeDocument/2006/relationships/hyperlink" Target="https://cryptoslate.com/usdt-supply-surpasses-150-billion-as-stablecoins-outpace-mainstream-giants-visa-paypal/" TargetMode="External"/><Relationship Id="rId13" Type="http://schemas.openxmlformats.org/officeDocument/2006/relationships/hyperlink" Target="https://www.kucoin.com/news/flash/stablecoin-volume-hits-46t-surpassing-visa-and-closing-in-on-ach" TargetMode="External"/><Relationship Id="rId14" Type="http://schemas.openxmlformats.org/officeDocument/2006/relationships/hyperlink" Target="https://www.noahwire.com" TargetMode="External"/><Relationship Id="rId15" Type="http://schemas.openxmlformats.org/officeDocument/2006/relationships/hyperlink" Target="https://cointelegraph.com/news/stablecoins-beat-visa-mastercard-2024-volume/" TargetMode="External"/><Relationship Id="rId16" Type="http://schemas.openxmlformats.org/officeDocument/2006/relationships/hyperlink" Target="https://cryptoslate.com/stablecoins-surpass-visa-and-mastercard-with-27-6-trillion-transfer-volume-in-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