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TaxTech accelerates automation revolution, transforming corporate tax from compliance hassle to strategic asset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 an era where speed and accuracy determine competitive advantage, TaxTech is recasting corporate tax from a back‑office burden into a strategic capability. According to the original report, platforms claiming 70% faster processing, 90% fewer errors and materially higher deduction capture are already shifting finance teams’ priorities from manual compliance to forward‑looking planning. Industry surveys also show that large, complex organisations still spend the majority of tax team time on compliance, underscoring why digitalisation has become urgent. </w:t>
      </w:r>
      <w:hyperlink r:id="rId9">
        <w:r>
          <w:rPr>
            <w:color w:val="0000EE"/>
            <w:u w:val="single"/>
          </w:rPr>
          <w:t>[1]</w:t>
        </w:r>
      </w:hyperlink>
      <w:hyperlink r:id="rId10">
        <w:r>
          <w:rPr>
            <w:color w:val="0000EE"/>
            <w:u w:val="single"/>
          </w:rPr>
          <w:t>[2]</w:t>
        </w:r>
      </w:hyperlink>
      <w:hyperlink r:id="rId11">
        <w:r>
          <w:rPr>
            <w:color w:val="0000EE"/>
            <w:u w:val="single"/>
          </w:rPr>
          <w:t>[7]</w:t>
        </w:r>
      </w:hyperlink>
      <w:r/>
    </w:p>
    <w:p>
      <w:r/>
      <w:r>
        <w:t xml:space="preserve">At the centre of the shift are automation, APIs and machine learning. Tax engines that calculate rates and nexus across thousands of jurisdictions in milliseconds , and update content continuously , now sit alongside OCR and ML expense categorisation, reducing human review and surfacing missed deductions. Vendors also bundle returns filing, exemption certificate management and generative tax research into single stacks so the compliance lifecycle is automated end‑to‑end. Product vendors describe these capabilities as modular services that plug into ERPs to deliver real‑time calculations and filings. </w:t>
      </w:r>
      <w:hyperlink r:id="rId9">
        <w:r>
          <w:rPr>
            <w:color w:val="0000EE"/>
            <w:u w:val="single"/>
          </w:rPr>
          <w:t>[1]</w:t>
        </w:r>
      </w:hyperlink>
      <w:hyperlink r:id="rId12">
        <w:r>
          <w:rPr>
            <w:color w:val="0000EE"/>
            <w:u w:val="single"/>
          </w:rPr>
          <w:t>[5]</w:t>
        </w:r>
      </w:hyperlink>
      <w:hyperlink r:id="rId13">
        <w:r>
          <w:rPr>
            <w:color w:val="0000EE"/>
            <w:u w:val="single"/>
          </w:rPr>
          <w:t>[6]</w:t>
        </w:r>
      </w:hyperlink>
      <w:r/>
    </w:p>
    <w:p>
      <w:r/>
      <w:r>
        <w:t xml:space="preserve">Account reconciliation and the financial close are being transformed in parallel. Fully automated reconciliation workflows have been shown to compress close times materially while improving control, and providers report faster daily bank reconciliations and standardised reconciliations that free teams for analysis rather than matching. Those automation gains feed directly into tax‑reporting accuracy and timeliness, enabling closer integration between tax provisioning and operational finance. </w:t>
      </w:r>
      <w:hyperlink r:id="rId14">
        <w:r>
          <w:rPr>
            <w:color w:val="0000EE"/>
            <w:u w:val="single"/>
          </w:rPr>
          <w:t>[3]</w:t>
        </w:r>
      </w:hyperlink>
      <w:hyperlink r:id="rId15">
        <w:r>
          <w:rPr>
            <w:color w:val="0000EE"/>
            <w:u w:val="single"/>
          </w:rPr>
          <w:t>[4]</w:t>
        </w:r>
      </w:hyperlink>
      <w:hyperlink r:id="rId9">
        <w:r>
          <w:rPr>
            <w:color w:val="0000EE"/>
            <w:u w:val="single"/>
          </w:rPr>
          <w:t>[1]</w:t>
        </w:r>
      </w:hyperlink>
      <w:r/>
    </w:p>
    <w:p>
      <w:r/>
      <w:r>
        <w:t xml:space="preserve">Beyond tools, the ecosystem effect matters: cloud SaaS, embedded tax APIs and predictive analytics combine to reduce overpayments, optimise quarterly estimates and generate audit trails suitable for more frequent regulatory scrutiny. Market commentary in the original analysis estimates TaxTech growth into the coming decade as driven by AI and cloud adoption, while consultant data highlights that digitisation remains the primary mechanism to reduce compliance burden. </w:t>
      </w:r>
      <w:hyperlink r:id="rId9">
        <w:r>
          <w:rPr>
            <w:color w:val="0000EE"/>
            <w:u w:val="single"/>
          </w:rPr>
          <w:t>[1]</w:t>
        </w:r>
      </w:hyperlink>
      <w:hyperlink r:id="rId10">
        <w:r>
          <w:rPr>
            <w:color w:val="0000EE"/>
            <w:u w:val="single"/>
          </w:rPr>
          <w:t>[2]</w:t>
        </w:r>
      </w:hyperlink>
      <w:r/>
    </w:p>
    <w:p>
      <w:r/>
      <w:r>
        <w:t xml:space="preserve">Practical wins are already visible. The original report cites large merchants and platforms automating cross‑border tax collection at scale, retail and enterprise users mining credits with AI, and expense platforms reducing AP/AR cycle times through integrated tax processing. Emerging market players have also demonstrated high reconciliation accuracy under fast‑changing rules, producing rapid returns on investment through cash‑flow and compliance savings. </w:t>
      </w:r>
      <w:hyperlink r:id="rId9">
        <w:r>
          <w:rPr>
            <w:color w:val="0000EE"/>
            <w:u w:val="single"/>
          </w:rPr>
          <w:t>[1]</w:t>
        </w:r>
      </w:hyperlink>
      <w:r/>
    </w:p>
    <w:p>
      <w:r/>
      <w:r>
        <w:t xml:space="preserve">The transition is not frictionless. Persistent data silos, legacy ERPs and security demands require careful orchestration: standardised APIs, encryption in transit and at rest, and third‑party assurance frameworks are now baseline requirements. Vendors and advisers emphasise that technology adoption must be paired with process redesign and upskilling , including low‑code/no‑code tools and conversational assistants , to close the people‑process gap Deloitte and others have identified. </w:t>
      </w:r>
      <w:hyperlink r:id="rId9">
        <w:r>
          <w:rPr>
            <w:color w:val="0000EE"/>
            <w:u w:val="single"/>
          </w:rPr>
          <w:t>[1]</w:t>
        </w:r>
      </w:hyperlink>
      <w:hyperlink r:id="rId11">
        <w:r>
          <w:rPr>
            <w:color w:val="0000EE"/>
            <w:u w:val="single"/>
          </w:rPr>
          <w:t>[7]</w:t>
        </w:r>
      </w:hyperlink>
      <w:r/>
    </w:p>
    <w:p>
      <w:r/>
      <w:r>
        <w:t xml:space="preserve">Looking ahead to 2026 and beyond, the original analysis envisages natural‑language AI composing memos and assisting audits, more sophisticated optimisation engines and nascent use cases for distributed ledgers and digital currencies to simplify cross‑border verification and withholding. While some prognoses about quantum computing and decentralised tax apportionment remain speculative, the near‑term trajectory , heavier automation, more frequent reporting and embedded compliance , is already observable across markets. </w:t>
      </w:r>
      <w:hyperlink r:id="rId9">
        <w:r>
          <w:rPr>
            <w:color w:val="0000EE"/>
            <w:u w:val="single"/>
          </w:rPr>
          <w:t>[1]</w:t>
        </w:r>
      </w:hyperlink>
      <w:r/>
    </w:p>
    <w:p>
      <w:r/>
      <w:r>
        <w:t xml:space="preserve">For finance leaders the imperative is pragmatic: assess current workflows, pilot complementary platforms, integrate via APIs and iterate with AI tuning and regular reviews. The suggested phased roadmap in the original report mirrors what early adopters report in realised time savings and error reduction: measurable operational gains that can convert tax from a cost of administration into a lever for cash and risk management. Implementation discipline, vendor governance and ongoing content updates will determine which organisations capture the full benefits. </w:t>
      </w:r>
      <w:hyperlink r:id="rId9">
        <w:r>
          <w:rPr>
            <w:color w:val="0000EE"/>
            <w:u w:val="single"/>
          </w:rPr>
          <w:t>[1]</w:t>
        </w:r>
      </w:hyperlink>
      <w:r/>
    </w:p>
    <w:p>
      <w:r/>
      <w:r>
        <w:t xml:space="preserve">FinTech vendors present powerful claims about efficiency and discovery; industry data and adviser surveys validate the potential but also temper it with reminders about governance, security and change management. The net effect is clear: tax administration that embraces automation and platform‑level data integration stands to gain both control and strategic optionality, while those that delay risk being outpaced as regulatory and commercial complexity accelerates. </w:t>
      </w:r>
      <w:hyperlink r:id="rId9">
        <w:r>
          <w:rPr>
            <w:color w:val="0000EE"/>
            <w:u w:val="single"/>
          </w:rPr>
          <w:t>[1]</w:t>
        </w:r>
      </w:hyperlink>
      <w:hyperlink r:id="rId12">
        <w:r>
          <w:rPr>
            <w:color w:val="0000EE"/>
            <w:u w:val="single"/>
          </w:rPr>
          <w:t>[5]</w:t>
        </w:r>
      </w:hyperlink>
      <w:hyperlink r:id="rId10">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(Fintecbuzz) - Paragraph 1, Paragraph 2,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(Business Standard) - Paragraph 1, Paragraph 4, Paragraph 9 </w:t>
      </w:r>
      <w:r/>
    </w:p>
    <w:p>
      <w:pPr>
        <w:pStyle w:val="ListBullet"/>
        <w:spacing w:line="240" w:lineRule="auto"/>
        <w:ind w:left="720"/>
      </w:pPr>
      <w:r/>
      <w:hyperlink r:id="rId14">
        <w:r>
          <w:rPr>
            <w:color w:val="0000EE"/>
            <w:u w:val="single"/>
          </w:rPr>
          <w:t>[3]</w:t>
        </w:r>
      </w:hyperlink>
      <w:r>
        <w:t xml:space="preserve"> (BlackLine blog) - Paragraph 3, Paragraph 5 </w:t>
      </w:r>
      <w:r/>
    </w:p>
    <w:p>
      <w:pPr>
        <w:pStyle w:val="ListBullet"/>
        <w:spacing w:line="240" w:lineRule="auto"/>
        <w:ind w:left="720"/>
      </w:pPr>
      <w:r/>
      <w:hyperlink r:id="rId15">
        <w:r>
          <w:rPr>
            <w:color w:val="0000EE"/>
            <w:u w:val="single"/>
          </w:rPr>
          <w:t>[4]</w:t>
        </w:r>
      </w:hyperlink>
      <w:r>
        <w:t xml:space="preserve"> (BlackLine) - Paragraph 3 </w:t>
      </w:r>
      <w:r/>
    </w:p>
    <w:p>
      <w:pPr>
        <w:pStyle w:val="ListBullet"/>
        <w:spacing w:line="240" w:lineRule="auto"/>
        <w:ind w:left="720"/>
      </w:pPr>
      <w:r/>
      <w:hyperlink r:id="rId12">
        <w:r>
          <w:rPr>
            <w:color w:val="0000EE"/>
            <w:u w:val="single"/>
          </w:rPr>
          <w:t>[5]</w:t>
        </w:r>
      </w:hyperlink>
      <w:r>
        <w:t xml:space="preserve"> (Avalara) - Paragraph 2, Paragraph 9 </w:t>
      </w:r>
      <w:r/>
    </w:p>
    <w:p>
      <w:pPr>
        <w:pStyle w:val="ListBullet"/>
        <w:spacing w:line="240" w:lineRule="auto"/>
        <w:ind w:left="720"/>
      </w:pPr>
      <w:r/>
      <w:hyperlink r:id="rId13">
        <w:r>
          <w:rPr>
            <w:color w:val="0000EE"/>
            <w:u w:val="single"/>
          </w:rPr>
          <w:t>[6]</w:t>
        </w:r>
      </w:hyperlink>
      <w:r>
        <w:t xml:space="preserve"> (Avalara guide) - Paragraph 2 </w:t>
      </w:r>
      <w:r/>
    </w:p>
    <w:p>
      <w:pPr>
        <w:pStyle w:val="ListBullet"/>
        <w:spacing w:line="240" w:lineRule="auto"/>
        <w:ind w:left="720"/>
      </w:pPr>
      <w:r/>
      <w:hyperlink r:id="rId11">
        <w:r>
          <w:rPr>
            <w:color w:val="0000EE"/>
            <w:u w:val="single"/>
          </w:rPr>
          <w:t>[7]</w:t>
        </w:r>
      </w:hyperlink>
      <w:r>
        <w:t xml:space="preserve"> (Deloitte) - Paragraph 1,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https://fintecbuzz.com/how-fintech-is-transforming-tax-management-for-businesses/</w:t>
        </w:r>
      </w:hyperlink>
      <w:r>
        <w:t xml:space="preserve"> - Please view link - unable to able to access data</w:t>
      </w:r>
      <w:r/>
    </w:p>
    <w:p>
      <w:pPr>
        <w:pStyle w:val="ListNumber"/>
        <w:spacing w:line="240" w:lineRule="auto"/>
        <w:ind w:left="720"/>
      </w:pPr>
      <w:r/>
      <w:hyperlink r:id="rId10">
        <w:r>
          <w:rPr>
            <w:color w:val="0000EE"/>
            <w:u w:val="single"/>
          </w:rPr>
          <w:t>https://www.business-standard.com/industry/news/large-companies-spend-a-lot-of-time-on-tax-compliance-says-deloitte-123050900495_1.html</w:t>
        </w:r>
      </w:hyperlink>
      <w:r>
        <w:t xml:space="preserve"> - A Deloitte survey reveals that tax teams in large, complex organisations spend approximately 70% of their time on tax compliance. The survey highlights the need for digitalisation to streamline reporting and reconciliation processes, aiming to reduce the time and resources dedicated to tax compliance tasks.</w:t>
      </w:r>
      <w:r/>
    </w:p>
    <w:p>
      <w:pPr>
        <w:pStyle w:val="ListNumber"/>
        <w:spacing w:line="240" w:lineRule="auto"/>
        <w:ind w:left="720"/>
      </w:pPr>
      <w:r/>
      <w:hyperlink r:id="rId14">
        <w:r>
          <w:rPr>
            <w:color w:val="0000EE"/>
            <w:u w:val="single"/>
          </w:rPr>
          <w:t>https://www.blackline.com/blog/fully-automated-bank-reconciliations/</w:t>
        </w:r>
      </w:hyperlink>
      <w:r>
        <w:t xml:space="preserve"> - BlackLine's Financial Close Management solution has been implemented by a fast-growing international retail organisation to automate bank reconciliation processes. The solution has significantly reduced the time spent on daily bank reconciliations, enhancing efficiency and accuracy in financial operations.</w:t>
      </w:r>
      <w:r/>
    </w:p>
    <w:p>
      <w:pPr>
        <w:pStyle w:val="ListNumber"/>
        <w:spacing w:line="240" w:lineRule="auto"/>
        <w:ind w:left="720"/>
      </w:pPr>
      <w:r/>
      <w:hyperlink r:id="rId15">
        <w:r>
          <w:rPr>
            <w:color w:val="0000EE"/>
            <w:u w:val="single"/>
          </w:rPr>
          <w:t>https://www.blackline.com/lp/automate-account-reconciliations/</w:t>
        </w:r>
      </w:hyperlink>
      <w:r>
        <w:t xml:space="preserve"> - BlackLine's Account Reconciliations solution offers a comprehensive approach to standardising and automating account reconciliation processes. It has led to measurable impacts, including a 70% faster close, by streamlining processes and optimising resources, thereby improving reporting accuracy and enhancing control.</w:t>
      </w:r>
      <w:r/>
    </w:p>
    <w:p>
      <w:pPr>
        <w:pStyle w:val="ListNumber"/>
        <w:spacing w:line="240" w:lineRule="auto"/>
        <w:ind w:left="720"/>
      </w:pPr>
      <w:r/>
      <w:hyperlink r:id="rId12">
        <w:r>
          <w:rPr>
            <w:color w:val="0000EE"/>
            <w:u w:val="single"/>
          </w:rPr>
          <w:t>https://www.avalara.com/us/en/products/ai-compliance.html</w:t>
        </w:r>
      </w:hyperlink>
      <w:r>
        <w:t xml:space="preserve"> - Avalara's AI-powered compliance solutions, built on the ALFA™ framework, automate the entire compliance lifecycle. These solutions provide global tax calculation, returns filing, exemption certificate validation, and generative tax research, all backed by a comprehensive and regularly updated tax content database.</w:t>
      </w:r>
      <w:r/>
    </w:p>
    <w:p>
      <w:pPr>
        <w:pStyle w:val="ListNumber"/>
        <w:spacing w:line="240" w:lineRule="auto"/>
        <w:ind w:left="720"/>
      </w:pPr>
      <w:r/>
      <w:hyperlink r:id="rId13">
        <w:r>
          <w:rPr>
            <w:color w:val="0000EE"/>
            <w:u w:val="single"/>
          </w:rPr>
          <w:t>https://www.avalara.com/us/en/learn/guides/automate-tax-calculation-avalara-avatax-guide.html</w:t>
        </w:r>
      </w:hyperlink>
      <w:r>
        <w:t xml:space="preserve"> - Avalara's AvaTax solution automates tax calculation by updating tax information twice monthly, ensuring businesses apply the most accurate rates for products and services across all channels. It uses geolocation technology to validate addresses with rooftop precision, accounting for state-to-state variations in sourcing rules.</w:t>
      </w:r>
      <w:r/>
    </w:p>
    <w:p>
      <w:pPr>
        <w:pStyle w:val="ListNumber"/>
        <w:spacing w:line="240" w:lineRule="auto"/>
        <w:ind w:left="720"/>
      </w:pPr>
      <w:r/>
      <w:hyperlink r:id="rId11">
        <w:r>
          <w:rPr>
            <w:color w:val="0000EE"/>
            <w:u w:val="single"/>
          </w:rPr>
          <w:t>https://www2.deloitte.com/us/en/pages/financial-services/solutions/fintech-solutions.html</w:t>
        </w:r>
      </w:hyperlink>
      <w:r>
        <w:t xml:space="preserve"> - Deloitte offers extensive fintech solutions and services designed to assist clients at each stage of the growth lifecycle. Their services include consulting, advisory, audit, and tax, tailored to help fintech organisations adapt to the ever-evolving business environment and emerging opportunities.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tecbuzz.com/how-fintech-is-transforming-tax-management-for-businesses/" TargetMode="External"/><Relationship Id="rId10" Type="http://schemas.openxmlformats.org/officeDocument/2006/relationships/hyperlink" Target="https://www.business-standard.com/industry/news/large-companies-spend-a-lot-of-time-on-tax-compliance-says-deloitte-123050900495_1.html" TargetMode="External"/><Relationship Id="rId11" Type="http://schemas.openxmlformats.org/officeDocument/2006/relationships/hyperlink" Target="https://www2.deloitte.com/us/en/pages/financial-services/solutions/fintech-solutions.html" TargetMode="External"/><Relationship Id="rId12" Type="http://schemas.openxmlformats.org/officeDocument/2006/relationships/hyperlink" Target="https://www.avalara.com/us/en/products/ai-compliance.html" TargetMode="External"/><Relationship Id="rId13" Type="http://schemas.openxmlformats.org/officeDocument/2006/relationships/hyperlink" Target="https://www.avalara.com/us/en/learn/guides/automate-tax-calculation-avalara-avatax-guide.html" TargetMode="External"/><Relationship Id="rId14" Type="http://schemas.openxmlformats.org/officeDocument/2006/relationships/hyperlink" Target="https://www.blackline.com/blog/fully-automated-bank-reconciliations/" TargetMode="External"/><Relationship Id="rId15" Type="http://schemas.openxmlformats.org/officeDocument/2006/relationships/hyperlink" Target="https://www.blackline.com/lp/automate-account-reconcili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