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Transforming ESG assessment with real-time news-driven knowledge graphs</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 xml:space="preserve">Environmental, Social and Governance (ESG) assessment is undergoing a methodological shift as researchers and practitioners confront the limits of disclosure-led metrics and third‑party ratings. According to the original report, conventional approaches suffer from opacity, inconsistency and slow update cycles, with inter-provider correlations for ESG ratings reported as low as 0.38 , a contrast starkly at odds with credit-rating concordance , creating comparability and credibility gaps for investors and regulators. </w:t>
      </w:r>
      <w:hyperlink r:id="rId9">
        <w:r>
          <w:rPr>
            <w:color w:val="0000EE"/>
            <w:u w:val="single"/>
          </w:rPr>
          <w:t>[1]</w:t>
        </w:r>
      </w:hyperlink>
      <w:r/>
    </w:p>
    <w:p>
      <w:r/>
      <w:r>
        <w:t xml:space="preserve">Against this backdrop, the study presents an end‑to‑end, automated framework that ingests near‑real‑time news, applies transformer‑based natural language processing (NLP) and natural language inference (NLI), and materialises extracted entities and relationships into a queryable knowledge graph (KG). The design is intended to complement, not replace, corporate disclosures by surfacing emergent narratives, actor linkages and domain‑specific sentiment buried in unstructured media. According to the original report, the framework was applied to firms in the FTSE 100, FTSE 250 and ASX 200 to test cross‑market and sectoral behaviours. </w:t>
      </w:r>
      <w:hyperlink r:id="rId9">
        <w:r>
          <w:rPr>
            <w:color w:val="0000EE"/>
            <w:u w:val="single"/>
          </w:rPr>
          <w:t>[1]</w:t>
        </w:r>
      </w:hyperlink>
      <w:r/>
    </w:p>
    <w:p>
      <w:r/>
      <w:r>
        <w:t xml:space="preserve">Methodologically, the pipeline combines established NLP components with pragmatic engineering choices. Named entity recognition (NER) was performed using SpaCy’s en_core_web_lg to tag organisations, people, locations and monetary values; sentiment was scored with a DistilBERT classifier categorising articles as Positive, Neutral or Negative; and ESG domain mapping used a hybrid of Bag‑of‑Words keyword matching augmented by zero‑shot NLI classification (facebook/bart‑large‑mnli). Extracted nodes and relations were persisted in Neo4j to enable multi‑step traversals and interactive visualisation. The original report describes these elements as a modular stack that supports scalable ingestion, normalisation and graph construction. </w:t>
      </w:r>
      <w:hyperlink r:id="rId9">
        <w:r>
          <w:rPr>
            <w:color w:val="0000EE"/>
            <w:u w:val="single"/>
          </w:rPr>
          <w:t>[1]</w:t>
        </w:r>
      </w:hyperlink>
      <w:r/>
    </w:p>
    <w:p>
      <w:r/>
      <w:r>
        <w:t xml:space="preserve">The knowledge‑graph centric approach yields two principal advantages: explainability of relational context and timeliness. By linking individual articles to companies, ESG domains and specific named entities (including normalised monetary mentions), the KG makes it possible to trace how a thematic narrative propagates across firms or sectors and to attribute sentiment to discrete ESG dimensions. The authors argue this semantic structuring permits richer inferential analytics , for example, aggregating domain‑specific sentiment by exchange or grouped sector , that are difficult to obtain from static rating tables. </w:t>
      </w:r>
      <w:hyperlink r:id="rId9">
        <w:r>
          <w:rPr>
            <w:color w:val="0000EE"/>
            <w:u w:val="single"/>
          </w:rPr>
          <w:t>[1]</w:t>
        </w:r>
      </w:hyperlink>
      <w:r/>
    </w:p>
    <w:p>
      <w:r/>
      <w:r>
        <w:t xml:space="preserve">Applied results illustrate divergent media narratives across markets and sectors. The original report finds that, in the sampled corpus, the FTSE 250 showed a positive leaning on environmental stories while exhibiting weaker governance sentiment, the FTSE 100 registered neutral/mixed environmental tone alongside stronger social and governance leanings, and the ASX 200 displayed broadly positive sentiment across domains. The framework also surfaced sectoral contrasts , for example, Consumer Staples exhibiting markedly more negative average sentiment in one index than in others , insights the authors suggest reflect differences in firm composition, international exposure and regional media focus. </w:t>
      </w:r>
      <w:hyperlink r:id="rId9">
        <w:r>
          <w:rPr>
            <w:color w:val="0000EE"/>
            <w:u w:val="single"/>
          </w:rPr>
          <w:t>[1]</w:t>
        </w:r>
      </w:hyperlink>
      <w:r/>
    </w:p>
    <w:p>
      <w:r/>
      <w:r>
        <w:t xml:space="preserve">These empirical findings sit comfortably within broader industry and regulatory discourse that emphasises the need for robust, company‑level ESG disclosure and risk‑aware stewardship. Regulatory voices, such as ESMA’s chair, have recently underlined the importance of accurate company disclosures to mobilise green financing and to counter greenwashing; the study’s news‑driven lens can be read as a complementary source of timely, external validation for such disclosures. Industry commentary also stresses that well‑managed ESG practices can drive financial resilience and improved corporate performance, reinforcing the practical value of richer, real‑time indicators. </w:t>
      </w:r>
      <w:hyperlink r:id="rId10">
        <w:r>
          <w:rPr>
            <w:color w:val="0000EE"/>
            <w:u w:val="single"/>
          </w:rPr>
          <w:t>[3]</w:t>
        </w:r>
      </w:hyperlink>
      <w:hyperlink r:id="rId11">
        <w:r>
          <w:rPr>
            <w:color w:val="0000EE"/>
            <w:u w:val="single"/>
          </w:rPr>
          <w:t>[2]</w:t>
        </w:r>
      </w:hyperlink>
      <w:hyperlink r:id="rId12">
        <w:r>
          <w:rPr>
            <w:color w:val="0000EE"/>
            <w:u w:val="single"/>
          </w:rPr>
          <w:t>[4]</w:t>
        </w:r>
      </w:hyperlink>
      <w:hyperlink r:id="rId13">
        <w:r>
          <w:rPr>
            <w:color w:val="0000EE"/>
            <w:u w:val="single"/>
          </w:rPr>
          <w:t>[5]</w:t>
        </w:r>
      </w:hyperlink>
      <w:hyperlink r:id="rId14">
        <w:r>
          <w:rPr>
            <w:color w:val="0000EE"/>
            <w:u w:val="single"/>
          </w:rPr>
          <w:t>[6]</w:t>
        </w:r>
      </w:hyperlink>
      <w:r/>
    </w:p>
    <w:p>
      <w:r/>
      <w:r>
        <w:t xml:space="preserve">The authors are candid about limitations: reliance on open APIs and scraped registries constrains coverage and introduces provenance and selection biases; generic pre‑trained models risk missing ESG‑specific terminology without fine‑tuning; and news‑based indicators inherit editorial and regional framing effects. The paper proposes mitigations including curated exchange feeds, domain adaptation of NER and sentiment models, multi‑label and sub‑theme taxonomies, provenance‑aware weighting in the KG, explainable AI techniques for path‑level justification, and integration with official ESG metrics and financial data for econometric validation. These measures speak to the recognised need to treat news‑derived signals as one component in a multi‑source ESG assessment toolkit. </w:t>
      </w:r>
      <w:hyperlink r:id="rId9">
        <w:r>
          <w:rPr>
            <w:color w:val="0000EE"/>
            <w:u w:val="single"/>
          </w:rPr>
          <w:t>[1]</w:t>
        </w:r>
      </w:hyperlink>
      <w:r/>
    </w:p>
    <w:p>
      <w:r/>
      <w:r>
        <w:t xml:space="preserve">Taken together, the framework offers a practical, scalable route to convert voluminous unstructured news into semantically rich, auditable ESG intelligence that can augment investor due diligence, regulatory supervision and corporate risk management. Industry and regulatory commentary suggests such external, real‑time perspectives are increasingly valuable as market participants seek to link sustainability claims with material financial outcomes and to reduce the space for misleading ESG narratives. The authors position their KG‑first system as a step towards more transparent, queryable, and explainable ESG analytics that can be iteratively improved with richer data, model fine‑tuning and formal benchmarking against established ESG scores. </w:t>
      </w:r>
      <w:hyperlink r:id="rId9">
        <w:r>
          <w:rPr>
            <w:color w:val="0000EE"/>
            <w:u w:val="single"/>
          </w:rPr>
          <w:t>[1]</w:t>
        </w:r>
      </w:hyperlink>
      <w:hyperlink r:id="rId11">
        <w:r>
          <w:rPr>
            <w:color w:val="0000EE"/>
            <w:u w:val="single"/>
          </w:rPr>
          <w:t>[2]</w:t>
        </w:r>
      </w:hyperlink>
      <w:hyperlink r:id="rId10">
        <w:r>
          <w:rPr>
            <w:color w:val="0000EE"/>
            <w:u w:val="single"/>
          </w:rPr>
          <w:t>[3]</w:t>
        </w:r>
      </w:hyperlink>
      <w:hyperlink r:id="rId12">
        <w:r>
          <w:rPr>
            <w:color w:val="0000EE"/>
            <w:u w:val="single"/>
          </w:rPr>
          <w:t>[4]</w:t>
        </w:r>
      </w:hyperlink>
      <w:hyperlink r:id="rId13">
        <w:r>
          <w:rPr>
            <w:color w:val="0000EE"/>
            <w:u w:val="single"/>
          </w:rPr>
          <w:t>[5]</w:t>
        </w:r>
      </w:hyperlink>
      <w:hyperlink r:id="rId14">
        <w:r>
          <w:rPr>
            <w:color w:val="0000EE"/>
            <w:u w:val="single"/>
          </w:rPr>
          <w:t>[6]</w:t>
        </w:r>
      </w:hyperlink>
      <w:r/>
    </w:p>
    <w:p>
      <w:pPr>
        <w:pStyle w:val="Heading3"/>
      </w:pPr>
      <w:r>
        <w:t>📌 Reference Map:</w:t>
      </w:r>
      <w:r/>
    </w:p>
    <w:p>
      <w:pPr>
        <w:pStyle w:val="Heading2"/>
      </w:pPr>
      <w:r>
        <w:t>Reference Map:</w:t>
      </w:r>
      <w:r/>
      <w:r/>
    </w:p>
    <w:p>
      <w:pPr>
        <w:pStyle w:val="ListBullet"/>
        <w:spacing w:line="240" w:lineRule="auto"/>
        <w:ind w:left="720"/>
      </w:pPr>
      <w:r/>
      <w:hyperlink r:id="rId9">
        <w:r>
          <w:rPr>
            <w:color w:val="0000EE"/>
            <w:u w:val="single"/>
          </w:rPr>
          <w:t>[1]</w:t>
        </w:r>
      </w:hyperlink>
      <w:r>
        <w:t xml:space="preserve"> (MDPI , lead article) - Paragraph 1, Paragraph 2, Paragraph 3, Paragraph 4, Paragraph 5, Paragraph 7, Paragraph 8 </w:t>
      </w:r>
      <w:r/>
    </w:p>
    <w:p>
      <w:pPr>
        <w:pStyle w:val="ListBullet"/>
        <w:spacing w:line="240" w:lineRule="auto"/>
        <w:ind w:left="720"/>
      </w:pPr>
      <w:r/>
      <w:hyperlink r:id="rId11">
        <w:r>
          <w:rPr>
            <w:color w:val="0000EE"/>
            <w:u w:val="single"/>
          </w:rPr>
          <w:t>[2]</w:t>
        </w:r>
      </w:hyperlink>
      <w:r>
        <w:t xml:space="preserve"> (Reuters , BNP Paribas) - Paragraph 8 </w:t>
      </w:r>
      <w:r/>
    </w:p>
    <w:p>
      <w:pPr>
        <w:pStyle w:val="ListBullet"/>
        <w:spacing w:line="240" w:lineRule="auto"/>
        <w:ind w:left="720"/>
      </w:pPr>
      <w:r/>
      <w:hyperlink r:id="rId10">
        <w:r>
          <w:rPr>
            <w:color w:val="0000EE"/>
            <w:u w:val="single"/>
          </w:rPr>
          <w:t>[3]</w:t>
        </w:r>
      </w:hyperlink>
      <w:r>
        <w:t xml:space="preserve"> (Reuters , ESMA chair) - Paragraph 8 </w:t>
      </w:r>
      <w:r/>
    </w:p>
    <w:p>
      <w:pPr>
        <w:pStyle w:val="ListBullet"/>
        <w:spacing w:line="240" w:lineRule="auto"/>
        <w:ind w:left="720"/>
      </w:pPr>
      <w:r/>
      <w:hyperlink r:id="rId12">
        <w:r>
          <w:rPr>
            <w:color w:val="0000EE"/>
            <w:u w:val="single"/>
          </w:rPr>
          <w:t>[4]</w:t>
        </w:r>
      </w:hyperlink>
      <w:r>
        <w:t xml:space="preserve"> (Britannica) - Paragraph 8 </w:t>
      </w:r>
      <w:r/>
    </w:p>
    <w:p>
      <w:pPr>
        <w:pStyle w:val="ListBullet"/>
        <w:spacing w:line="240" w:lineRule="auto"/>
        <w:ind w:left="720"/>
      </w:pPr>
      <w:r/>
      <w:hyperlink r:id="rId13">
        <w:r>
          <w:rPr>
            <w:color w:val="0000EE"/>
            <w:u w:val="single"/>
          </w:rPr>
          <w:t>[5]</w:t>
        </w:r>
      </w:hyperlink>
      <w:r>
        <w:t xml:space="preserve"> (Wolters Kluwer) - Paragraph 8 </w:t>
      </w:r>
      <w:r/>
    </w:p>
    <w:p>
      <w:pPr>
        <w:pStyle w:val="ListBullet"/>
        <w:spacing w:line="240" w:lineRule="auto"/>
        <w:ind w:left="720"/>
      </w:pPr>
      <w:r/>
      <w:hyperlink r:id="rId14">
        <w:r>
          <w:rPr>
            <w:color w:val="0000EE"/>
            <w:u w:val="single"/>
          </w:rPr>
          <w:t>[6]</w:t>
        </w:r>
      </w:hyperlink>
      <w:r>
        <w:t xml:space="preserve"> (Directors Institute) - Paragraph 8</w:t>
      </w:r>
      <w:r/>
      <w:r/>
    </w:p>
    <w:p>
      <w:r/>
      <w:r>
        <w:t xml:space="preserve">Source: </w:t>
      </w:r>
      <w:hyperlink r:id="rId15">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https://www.mdpi.com/2071-1050/17/24/11128</w:t>
        </w:r>
      </w:hyperlink>
      <w:r>
        <w:t xml:space="preserve"> - Please view link - unable to able to access data</w:t>
      </w:r>
      <w:r/>
    </w:p>
    <w:p>
      <w:pPr>
        <w:pStyle w:val="ListNumber"/>
        <w:spacing w:line="240" w:lineRule="auto"/>
        <w:ind w:left="720"/>
      </w:pPr>
      <w:r/>
      <w:hyperlink r:id="rId11">
        <w:r>
          <w:rPr>
            <w:color w:val="0000EE"/>
            <w:u w:val="single"/>
          </w:rPr>
          <w:t>https://www.reuters.com/sustainability/sustainable-finance-reporting/bnp-paribas-esg-rethink-focus-profitable-sustainable-finance-2025-01-24/</w:t>
        </w:r>
      </w:hyperlink>
      <w:r>
        <w:t xml:space="preserve"> - BNP Paribas is reevaluating its approach to sustainable finance, aiming to ensure profitability while maintaining a commitment to environmental and societal goals. The bank plans to focus on four key themes: adaptation, transition, conservation, and societal resilience, prioritizing investments in areas like water, agriculture, and decarbonization of high-emission sectors such as steel and cement.</w:t>
      </w:r>
      <w:r/>
    </w:p>
    <w:p>
      <w:pPr>
        <w:pStyle w:val="ListNumber"/>
        <w:spacing w:line="240" w:lineRule="auto"/>
        <w:ind w:left="720"/>
      </w:pPr>
      <w:r/>
      <w:hyperlink r:id="rId10">
        <w:r>
          <w:rPr>
            <w:color w:val="0000EE"/>
            <w:u w:val="single"/>
          </w:rPr>
          <w:t>https://www.reuters.com/sustainability/sustainable-finance-reporting/company-level-disclosure-key-financing-green-transition-says-esma-chair-2024-03-07/</w:t>
        </w:r>
      </w:hyperlink>
      <w:r>
        <w:t xml:space="preserve"> - Verena Ross, Chair of the European Securities and Markets Authority (ESMA), emphasized the crucial role of robust company-level environmental, social, and governance (ESG) disclosures in mobilizing investment for the green transition. ESMA plans to release guidelines on accurately naming ESG funds to address concerns about greenwashing.</w:t>
      </w:r>
      <w:r/>
    </w:p>
    <w:p>
      <w:pPr>
        <w:pStyle w:val="ListNumber"/>
        <w:spacing w:line="240" w:lineRule="auto"/>
        <w:ind w:left="720"/>
      </w:pPr>
      <w:r/>
      <w:hyperlink r:id="rId12">
        <w:r>
          <w:rPr>
            <w:color w:val="0000EE"/>
            <w:u w:val="single"/>
          </w:rPr>
          <w:t>https://www.britannica.com/money/sustainable-investing-risk</w:t>
        </w:r>
      </w:hyperlink>
      <w:r>
        <w:t xml:space="preserve"> - Integrating ESG factors into financial analysis adds critical context and helps investors avoid blind spots in traditional risk assessment. ESG risk management highlights real-world risks, including climate change, labor issues, and governance failures, that can affect a company’s financial performance.</w:t>
      </w:r>
      <w:r/>
    </w:p>
    <w:p>
      <w:pPr>
        <w:pStyle w:val="ListNumber"/>
        <w:spacing w:line="240" w:lineRule="auto"/>
        <w:ind w:left="720"/>
      </w:pPr>
      <w:r/>
      <w:hyperlink r:id="rId13">
        <w:r>
          <w:rPr>
            <w:color w:val="0000EE"/>
            <w:u w:val="single"/>
          </w:rPr>
          <w:t>https://www.wolterskluwer.com/en/expert-insights/the-importance-of-esg-as-a-key-drive-of-corporate-performance</w:t>
        </w:r>
      </w:hyperlink>
      <w:r>
        <w:t xml:space="preserve"> - Moving beyond ESG reporting into risk management and performance improvement can drive superior returns for companies. ESG practices help companies identify and mitigate risks related to environmental, social, and governance issues, leading to better financial performance.</w:t>
      </w:r>
      <w:r/>
    </w:p>
    <w:p>
      <w:pPr>
        <w:pStyle w:val="ListNumber"/>
        <w:spacing w:line="240" w:lineRule="auto"/>
        <w:ind w:left="720"/>
      </w:pPr>
      <w:r/>
      <w:hyperlink r:id="rId14">
        <w:r>
          <w:rPr>
            <w:color w:val="0000EE"/>
            <w:u w:val="single"/>
          </w:rPr>
          <w:t>https://www.directors-institute.com/post/the-business-case-for-esg-how-sustainability-drives-financial-success</w:t>
        </w:r>
      </w:hyperlink>
      <w:r>
        <w:t xml:space="preserve"> - Strong governance practices reduce the risk of corporate misbehavior, legal issues, and financial irregularities. Companies with robust governance structures are often seen as more stable and reliable, attracting investment and improving financial performance.</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mdpi.com/2071-1050/17/24/11128" TargetMode="External"/><Relationship Id="rId10" Type="http://schemas.openxmlformats.org/officeDocument/2006/relationships/hyperlink" Target="https://www.reuters.com/sustainability/sustainable-finance-reporting/company-level-disclosure-key-financing-green-transition-says-esma-chair-2024-03-07/" TargetMode="External"/><Relationship Id="rId11" Type="http://schemas.openxmlformats.org/officeDocument/2006/relationships/hyperlink" Target="https://www.reuters.com/sustainability/sustainable-finance-reporting/bnp-paribas-esg-rethink-focus-profitable-sustainable-finance-2025-01-24/" TargetMode="External"/><Relationship Id="rId12" Type="http://schemas.openxmlformats.org/officeDocument/2006/relationships/hyperlink" Target="https://www.britannica.com/money/sustainable-investing-risk" TargetMode="External"/><Relationship Id="rId13" Type="http://schemas.openxmlformats.org/officeDocument/2006/relationships/hyperlink" Target="https://www.wolterskluwer.com/en/expert-insights/the-importance-of-esg-as-a-key-drive-of-corporate-performance" TargetMode="External"/><Relationship Id="rId14" Type="http://schemas.openxmlformats.org/officeDocument/2006/relationships/hyperlink" Target="https://www.directors-institute.com/post/the-business-case-for-esg-how-sustainability-drives-financial-success" TargetMode="External"/><Relationship Id="rId15" Type="http://schemas.openxmlformats.org/officeDocument/2006/relationships/hyperlink" Target="https://www.noahwire.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