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Beazley warns of rising AI and cyber threats shaping 2026 risk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Beazley, the specialist insurer, has set out a series of risk predictions for 2026 that place artificial intelligence and its infrastructure at the centre of market and political friction, while warning that cyber failure, energy transition projects and regulatory disclosure will test corporate resilience and insurers’ capacity to respond. According to the original report from Beazley, data centres now sit at the heart of both opportunity and contestation as the backbone of the AI ecosystem. </w:t>
      </w:r>
      <w:hyperlink r:id="rId9">
        <w:r>
          <w:rPr>
            <w:color w:val="0000EE"/>
            <w:u w:val="single"/>
          </w:rPr>
          <w:t>[1]</w:t>
        </w:r>
      </w:hyperlink>
      <w:hyperlink r:id="rId10">
        <w:r>
          <w:rPr>
            <w:color w:val="0000EE"/>
            <w:u w:val="single"/>
          </w:rPr>
          <w:t>[5]</w:t>
        </w:r>
      </w:hyperlink>
      <w:r/>
    </w:p>
    <w:p>
      <w:r/>
      <w:r>
        <w:t xml:space="preserve">Beazley warns that the debate about AI , so far largely confined to digital forums , risks spilling into physical protest and disruption next year. The firm says data centres have become critical infrastructure and potential flashpoints, with opposition to siting and social impact likely to lead to demonstrations that could target these facilities. Industry analysis shows data-hungry AI is substantially increasing demand for electricity and colocated infrastructure, intensifying the strategic value and visibility of data centres.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The insurer argues this dynamic elevates the need for integrated risk solutions: traditional property cover is no longer enough, and products covering Strike, Riots and Civil Commotion (SRCC), political violence, terrorism and cyber should be treated as complementary layers in resilience planning. Beazley frames insurance as a strategic enabler to protect assets, sustain operations and allow organisations to capitalise on investment despite rising societal tensions. </w:t>
      </w:r>
      <w:hyperlink r:id="rId9">
        <w:r>
          <w:rPr>
            <w:color w:val="0000EE"/>
            <w:u w:val="single"/>
          </w:rPr>
          <w:t>[1]</w:t>
        </w:r>
      </w:hyperlink>
      <w:r/>
    </w:p>
    <w:p>
      <w:r/>
      <w:r>
        <w:t xml:space="preserve">Cyber risk tops Beazley’s list of near-term vulnerabilities. The firm highlights how a single, well-timed attack can cascade into operational paralysis and long-term business failure, pointing to high-profile incidents this year that had measurable macroeconomic impact. Data from executive surveys underscores growing anxiety: a rising share of senior leaders now rank cyber as their principal threat even as many express confidence in their preparedness, a combination that Beazley and commentators say could reflect dangerous complacency. </w:t>
      </w:r>
      <w:hyperlink r:id="rId9">
        <w:r>
          <w:rPr>
            <w:color w:val="0000EE"/>
            <w:u w:val="single"/>
          </w:rPr>
          <w:t>[1]</w:t>
        </w:r>
      </w:hyperlink>
      <w:hyperlink r:id="rId12">
        <w:r>
          <w:rPr>
            <w:color w:val="0000EE"/>
            <w:u w:val="single"/>
          </w:rPr>
          <w:t>[2]</w:t>
        </w:r>
      </w:hyperlink>
      <w:hyperlink r:id="rId13">
        <w:r>
          <w:rPr>
            <w:color w:val="0000EE"/>
            <w:u w:val="single"/>
          </w:rPr>
          <w:t>[4]</w:t>
        </w:r>
      </w:hyperlink>
      <w:r/>
    </w:p>
    <w:p>
      <w:r/>
      <w:r>
        <w:t xml:space="preserve">Beyond immediate operational loss, Beazley highlights potential long-tail liabilities: boards and officers may face director-and-officer exposure from shareholder litigation tied to inadequate cyber governance or disclosure. The insurer urges a cultural shift from crisis response to pre-emptive resilience , preparing before, responding quickly and rebuilding stronger , with insurance positioned as one element within that approach. </w:t>
      </w:r>
      <w:hyperlink r:id="rId9">
        <w:r>
          <w:rPr>
            <w:color w:val="0000EE"/>
            <w:u w:val="single"/>
          </w:rPr>
          <w:t>[1]</w:t>
        </w:r>
      </w:hyperlink>
      <w:hyperlink r:id="rId12">
        <w:r>
          <w:rPr>
            <w:color w:val="0000EE"/>
            <w:u w:val="single"/>
          </w:rPr>
          <w:t>[2]</w:t>
        </w:r>
      </w:hyperlink>
      <w:r/>
    </w:p>
    <w:p>
      <w:r/>
      <w:r>
        <w:t xml:space="preserve">On the energy front, Beazley sees 2026 as a tipping point for firms taking ownership of energy supply. The report notes businesses are increasingly investing in on-site generation and storage , from wind and battery energy storage systems to, in some cases, nuclear projects , to reduce dependence on strained grids and to bolster continuity amid geopolitical and climate-driven supply fragility. Insurers are responding by designing cover that addresses the specific operational and regulatory exposures such projects create. </w:t>
      </w:r>
      <w:hyperlink r:id="rId9">
        <w:r>
          <w:rPr>
            <w:color w:val="0000EE"/>
            <w:u w:val="single"/>
          </w:rPr>
          <w:t>[1]</w:t>
        </w:r>
      </w:hyperlink>
      <w:hyperlink r:id="rId13">
        <w:r>
          <w:rPr>
            <w:color w:val="0000EE"/>
            <w:u w:val="single"/>
          </w:rPr>
          <w:t>[4]</w:t>
        </w:r>
      </w:hyperlink>
      <w:r/>
    </w:p>
    <w:p>
      <w:r/>
      <w:r>
        <w:t xml:space="preserve">Beazley also identifies brownfield regeneration as an emerging commercial opportunity. Former industrial sites, the firm says, are attractive locations for data centres, renewable generation and battery facilities because they are often proximate to infrastructure and more politically acceptable than greenfield development. However, Beazley warns developers face legacy contamination risks and climate-driven hazards , from flood-borne pollutant migration to unexpected pollutants discovered during excavation , and that robust due diligence and tailored insurance will be critical to unlock investment. </w:t>
      </w:r>
      <w:hyperlink r:id="rId9">
        <w:r>
          <w:rPr>
            <w:color w:val="0000EE"/>
            <w:u w:val="single"/>
          </w:rPr>
          <w:t>[1]</w:t>
        </w:r>
      </w:hyperlink>
      <w:hyperlink r:id="rId11">
        <w:r>
          <w:rPr>
            <w:color w:val="0000EE"/>
            <w:u w:val="single"/>
          </w:rPr>
          <w:t>[6]</w:t>
        </w:r>
      </w:hyperlink>
      <w:r/>
    </w:p>
    <w:p>
      <w:r/>
      <w:r>
        <w:t xml:space="preserve">Regulatory and disclosure risks are a final theme. Beazley coins “tariff-washing” as a 2026 compliance challenge akin to greenwashing or AI-washing: as trade measures change rapidly, inconsistent or delayed disclosure about tariff impacts could prompt reputational harm and legal action. The company cautions that advances in AI-driven document review make it easier for litigants and regulators to find discrepancies, increasing the stakes for transparent, timely communication. </w:t>
      </w:r>
      <w:hyperlink r:id="rId9">
        <w:r>
          <w:rPr>
            <w:color w:val="0000EE"/>
            <w:u w:val="single"/>
          </w:rPr>
          <w:t>[1]</w:t>
        </w:r>
      </w:hyperlink>
      <w:r/>
    </w:p>
    <w:p>
      <w:r/>
      <w:r>
        <w:t xml:space="preserve">Beazley positions these forecasts as part of a broader risk and resilience research programme aimed at helping clients anticipate and mitigate a complex convergence of political, technological and environmental threats. The company’s public materials reiterate its global footprint and underwriting scale, and note that its U.S. and European operations provide a range of admitted and surplus lines cover for specialty risks. Industry reporting has broadly echoed Beazley’s emphasis on AI, climate and cyber as dominant themes in insurer and corporate planning for 2026. </w:t>
      </w:r>
      <w:hyperlink r:id="rId9">
        <w:r>
          <w:rPr>
            <w:color w:val="0000EE"/>
            <w:u w:val="single"/>
          </w:rPr>
          <w:t>[1]</w:t>
        </w:r>
      </w:hyperlink>
      <w:hyperlink r:id="rId14">
        <w:r>
          <w:rPr>
            <w:color w:val="0000EE"/>
            <w:u w:val="single"/>
          </w:rPr>
          <w:t>[3]</w:t>
        </w:r>
      </w:hyperlink>
      <w:hyperlink r:id="rId10">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(Beazley via Omnia Partners / lead blog) - Paragraph 1, Paragraph 2, Paragraph 3, Paragraph 4, Paragraph 5, Paragraph 6, Paragraph 7, Paragraph 8, Paragraph 9 </w:t>
      </w:r>
      <w:r/>
    </w:p>
    <w:p>
      <w:pPr>
        <w:pStyle w:val="ListBullet"/>
        <w:spacing w:line="240" w:lineRule="auto"/>
        <w:ind w:left="720"/>
      </w:pPr>
      <w:r/>
      <w:hyperlink r:id="rId10">
        <w:r>
          <w:rPr>
            <w:color w:val="0000EE"/>
            <w:u w:val="single"/>
          </w:rPr>
          <w:t>[5]</w:t>
        </w:r>
      </w:hyperlink>
      <w:r>
        <w:t xml:space="preserve"> (Beazley.com article) - Paragraph 2, Paragraph 3, Paragraph 9 </w:t>
      </w:r>
      <w:r/>
    </w:p>
    <w:p>
      <w:pPr>
        <w:pStyle w:val="ListBullet"/>
        <w:spacing w:line="240" w:lineRule="auto"/>
        <w:ind w:left="720"/>
      </w:pPr>
      <w:r/>
      <w:hyperlink r:id="rId11">
        <w:r>
          <w:rPr>
            <w:color w:val="0000EE"/>
            <w:u w:val="single"/>
          </w:rPr>
          <w:t>[6]</w:t>
        </w:r>
      </w:hyperlink>
      <w:r>
        <w:t xml:space="preserve"> (AIX Energy report) - Paragraph 2, Paragraph 7 </w:t>
      </w:r>
      <w:r/>
    </w:p>
    <w:p>
      <w:pPr>
        <w:pStyle w:val="ListBullet"/>
        <w:spacing w:line="240" w:lineRule="auto"/>
        <w:ind w:left="720"/>
      </w:pPr>
      <w:r/>
      <w:hyperlink r:id="rId12">
        <w:r>
          <w:rPr>
            <w:color w:val="0000EE"/>
            <w:u w:val="single"/>
          </w:rPr>
          <w:t>[2]</w:t>
        </w:r>
      </w:hyperlink>
      <w:r>
        <w:t xml:space="preserve"> (Business Insurance) - Paragraph 4, Paragraph 5 </w:t>
      </w:r>
      <w:r/>
    </w:p>
    <w:p>
      <w:pPr>
        <w:pStyle w:val="ListBullet"/>
        <w:spacing w:line="240" w:lineRule="auto"/>
        <w:ind w:left="720"/>
      </w:pPr>
      <w:r/>
      <w:hyperlink r:id="rId13">
        <w:r>
          <w:rPr>
            <w:color w:val="0000EE"/>
            <w:u w:val="single"/>
          </w:rPr>
          <w:t>[4]</w:t>
        </w:r>
      </w:hyperlink>
      <w:r>
        <w:t xml:space="preserve"> (The Insurer) - Paragraph 4, Paragraph 6 </w:t>
      </w:r>
      <w:r/>
    </w:p>
    <w:p>
      <w:pPr>
        <w:pStyle w:val="ListBullet"/>
        <w:spacing w:line="240" w:lineRule="auto"/>
        <w:ind w:left="720"/>
      </w:pPr>
      <w:r/>
      <w:hyperlink r:id="rId14">
        <w:r>
          <w:rPr>
            <w:color w:val="0000EE"/>
            <w:u w:val="single"/>
          </w:rPr>
          <w:t>[3]</w:t>
        </w:r>
      </w:hyperlink>
      <w:r>
        <w:t xml:space="preserve"> (Insurance Business)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https://blog.lifeinsurance-orleans.ca/index.php/2025/12/12/beazleys-predictions-for-2026/</w:t>
        </w:r>
      </w:hyperlink>
      <w:r>
        <w:t xml:space="preserve"> - Please view link - unable to able to access data</w:t>
      </w:r>
      <w:r/>
    </w:p>
    <w:p>
      <w:pPr>
        <w:pStyle w:val="ListNumber"/>
        <w:spacing w:line="240" w:lineRule="auto"/>
        <w:ind w:left="720"/>
      </w:pPr>
      <w:r/>
      <w:hyperlink r:id="rId12">
        <w:r>
          <w:rPr>
            <w:color w:val="0000EE"/>
            <w:u w:val="single"/>
          </w:rPr>
          <w:t>https://www.businessinsurance.com/executives-view-cyber-risk-threat-increasing-beazley/</w:t>
        </w:r>
      </w:hyperlink>
      <w:r>
        <w:t xml:space="preserve"> - A Business Insurance article reports that nearly a third of U.S. executives now view cyber risk as their greatest threat, up from 22% in 2024. Despite this heightened concern, 81% believe they are prepared to counter these risks, indicating a potential overconfidence. The article also highlights that 79% of executives anticipate AI will positively impact their business prospects this year. This underscores the growing importance of cybersecurity and AI in the corporate landscape. (</w:t>
      </w:r>
      <w:hyperlink r:id="rId16">
        <w:r>
          <w:rPr>
            <w:color w:val="0000EE"/>
            <w:u w:val="single"/>
          </w:rPr>
          <w:t>businessinsurance.com</w:t>
        </w:r>
      </w:hyperlink>
      <w:r>
        <w:t>)</w:t>
      </w:r>
      <w:r/>
    </w:p>
    <w:p>
      <w:pPr>
        <w:pStyle w:val="ListNumber"/>
        <w:spacing w:line="240" w:lineRule="auto"/>
        <w:ind w:left="720"/>
      </w:pPr>
      <w:r/>
      <w:hyperlink r:id="rId14">
        <w:r>
          <w:rPr>
            <w:color w:val="0000EE"/>
            <w:u w:val="single"/>
          </w:rPr>
          <w:t>https://www.insurancebusinessmag.com/ca/news/breaking-news/ai-and-climate-lead-beazleys-2025-risk-outlook-517252.aspx</w:t>
        </w:r>
      </w:hyperlink>
      <w:r>
        <w:t xml:space="preserve"> - Insurance Business discusses Beazley's 2025 risk outlook, emphasizing the prominence of AI and climate resilience. CEO Adrian Cox notes that 80% of companies plan to integrate AI into their operations, cautioning against 'AI-washing'—overstating AI's impact without substantiation. The article also addresses challenges posed by regulatory divergence and technology obsolescence, highlighting the need for businesses to adapt to evolving risks. (</w:t>
      </w:r>
      <w:hyperlink r:id="rId17">
        <w:r>
          <w:rPr>
            <w:color w:val="0000EE"/>
            <w:u w:val="single"/>
          </w:rPr>
          <w:t>insurancebusinessmag.com</w:t>
        </w:r>
      </w:hyperlink>
      <w:r>
        <w:t>)</w:t>
      </w:r>
      <w:r/>
    </w:p>
    <w:p>
      <w:pPr>
        <w:pStyle w:val="ListNumber"/>
        <w:spacing w:line="240" w:lineRule="auto"/>
        <w:ind w:left="720"/>
      </w:pPr>
      <w:r/>
      <w:hyperlink r:id="rId13">
        <w:r>
          <w:rPr>
            <w:color w:val="0000EE"/>
            <w:u w:val="single"/>
          </w:rPr>
          <w:t>https://www.theinsurer.com/ti/news/beazley-ai-luddites-and-cyber-failure-top-risks-for-2026-2025-12-12/</w:t>
        </w:r>
      </w:hyperlink>
      <w:r>
        <w:t xml:space="preserve"> - The Insurer reports on Beazley's identification of top risks for 2026, including business failure following a cyberattack, anti-AI activism, and nuclear testing. These insights are part of Beazley's latest risk and resilience research, highlighting the evolving challenges firms and insurers may face in the coming year. (</w:t>
      </w:r>
      <w:hyperlink r:id="rId18">
        <w:r>
          <w:rPr>
            <w:color w:val="0000EE"/>
            <w:u w:val="single"/>
          </w:rPr>
          <w:t>theinsurer.com</w:t>
        </w:r>
      </w:hyperlink>
      <w:r>
        <w:t>)</w:t>
      </w:r>
      <w:r/>
    </w:p>
    <w:p>
      <w:pPr>
        <w:pStyle w:val="ListNumber"/>
        <w:spacing w:line="240" w:lineRule="auto"/>
        <w:ind w:left="720"/>
      </w:pPr>
      <w:r/>
      <w:hyperlink r:id="rId10">
        <w:r>
          <w:rPr>
            <w:color w:val="0000EE"/>
            <w:u w:val="single"/>
          </w:rPr>
          <w:t>https://www.beazley.com/en/articles/the-ai-data-centre-gold-rush/</w:t>
        </w:r>
      </w:hyperlink>
      <w:r>
        <w:t xml:space="preserve"> - Beazley discusses the surge in demand for data centres driven by AI technologies, noting that data-hungry AI is placing unprecedented strain on digital infrastructure. The article highlights the strategic value of data centres and the associated risks, including securing power, reliable infrastructure, and cyber threats. It also addresses regulatory and political challenges, such as tariffs and cross-border data regulations, emphasizing the need for businesses to navigate these complexities. (</w:t>
      </w:r>
      <w:hyperlink r:id="rId19">
        <w:r>
          <w:rPr>
            <w:color w:val="0000EE"/>
            <w:u w:val="single"/>
          </w:rPr>
          <w:t>beazley.com</w:t>
        </w:r>
      </w:hyperlink>
      <w:r>
        <w:t>)</w:t>
      </w:r>
      <w:r/>
    </w:p>
    <w:p>
      <w:pPr>
        <w:pStyle w:val="ListNumber"/>
        <w:spacing w:line="240" w:lineRule="auto"/>
        <w:ind w:left="720"/>
      </w:pPr>
      <w:r/>
      <w:hyperlink r:id="rId11">
        <w:r>
          <w:rPr>
            <w:color w:val="0000EE"/>
            <w:u w:val="single"/>
          </w:rPr>
          <w:t>https://www.aixenergy.io/content/files/2025/05/5_Trends_Final_05.30.25.pdf</w:t>
        </w:r>
      </w:hyperlink>
      <w:r>
        <w:t xml:space="preserve"> - AIX Energy outlines five trends reshaping the electric system in 2025, including AI becoming the new 'baseload' due to its significant electricity consumption. The report discusses the implications of AI's energy demands on the grid, the need for new generation contracts, and the potential for data centres to account for a substantial portion of electricity use. It also highlights the importance of co-locating data centres with generation sources to meet AI demand. (</w:t>
      </w:r>
      <w:hyperlink r:id="rId20">
        <w:r>
          <w:rPr>
            <w:color w:val="0000EE"/>
            <w:u w:val="single"/>
          </w:rPr>
          <w:t>aixenergy.io</w:t>
        </w:r>
      </w:hyperlink>
      <w:r>
        <w:t>)</w:t>
      </w:r>
      <w:r/>
    </w:p>
    <w:p>
      <w:pPr>
        <w:pStyle w:val="ListNumber"/>
        <w:spacing w:line="240" w:lineRule="auto"/>
        <w:ind w:left="720"/>
      </w:pPr>
      <w:r/>
      <w:hyperlink r:id="rId21">
        <w:r>
          <w:rPr>
            <w:color w:val="0000EE"/>
            <w:u w:val="single"/>
          </w:rPr>
          <w:t>https://www.insurance-canada.ca/2025/12/12/beazley-predictions-2026-ai-luddite-cyber-outages/</w:t>
        </w:r>
      </w:hyperlink>
      <w:r>
        <w:t xml:space="preserve"> - Insurance-Canada.ca reports on Beazley's predictions for 2026, focusing on the risks associated with AI resistance, cyber outages, and the unlocking of brownfield opportunities. The article discusses the potential for AI resistance to manifest in physical protests, the impact of cyber incidents on business operations, and the advantages of repurposing brownfield sites for infrastructure projects. It also addresses the environmental liabilities and operational exposures associated with brownfield developments. (</w:t>
      </w:r>
      <w:hyperlink r:id="rId22">
        <w:r>
          <w:rPr>
            <w:color w:val="0000EE"/>
            <w:u w:val="single"/>
          </w:rPr>
          <w:t>insurance-canada.ca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lifeinsurance-orleans.ca/index.php/2025/12/12/beazleys-predictions-for-2026/" TargetMode="External"/><Relationship Id="rId10" Type="http://schemas.openxmlformats.org/officeDocument/2006/relationships/hyperlink" Target="https://www.beazley.com/en/articles/the-ai-data-centre-gold-rush/" TargetMode="External"/><Relationship Id="rId11" Type="http://schemas.openxmlformats.org/officeDocument/2006/relationships/hyperlink" Target="https://www.aixenergy.io/content/files/2025/05/5_Trends_Final_05.30.25.pdf" TargetMode="External"/><Relationship Id="rId12" Type="http://schemas.openxmlformats.org/officeDocument/2006/relationships/hyperlink" Target="https://www.businessinsurance.com/executives-view-cyber-risk-threat-increasing-beazley/" TargetMode="External"/><Relationship Id="rId13" Type="http://schemas.openxmlformats.org/officeDocument/2006/relationships/hyperlink" Target="https://www.theinsurer.com/ti/news/beazley-ai-luddites-and-cyber-failure-top-risks-for-2026-2025-12-12/" TargetMode="External"/><Relationship Id="rId14" Type="http://schemas.openxmlformats.org/officeDocument/2006/relationships/hyperlink" Target="https://www.insurancebusinessmag.com/ca/news/breaking-news/ai-and-climate-lead-beazleys-2025-risk-outlook-517252.aspx" TargetMode="External"/><Relationship Id="rId15" Type="http://schemas.openxmlformats.org/officeDocument/2006/relationships/hyperlink" Target="https://www.noahwire.com" TargetMode="External"/><Relationship Id="rId16" Type="http://schemas.openxmlformats.org/officeDocument/2006/relationships/hyperlink" Target="https://www.businessinsurance.com/executives-view-cyber-risk-threat-increasing-beazley/?utm_source=openai" TargetMode="External"/><Relationship Id="rId17" Type="http://schemas.openxmlformats.org/officeDocument/2006/relationships/hyperlink" Target="https://www.insurancebusinessmag.com/ca/news/breaking-news/ai-and-climate-lead-beazleys-2025-risk-outlook-517252.aspx?utm_source=openai" TargetMode="External"/><Relationship Id="rId18" Type="http://schemas.openxmlformats.org/officeDocument/2006/relationships/hyperlink" Target="https://www.theinsurer.com/ti/news/beazley-ai-luddites-and-cyber-failure-top-risks-for-2026-2025-12-12/?utm_source=openai" TargetMode="External"/><Relationship Id="rId19" Type="http://schemas.openxmlformats.org/officeDocument/2006/relationships/hyperlink" Target="https://www.beazley.com/en/articles/the-ai-data-centre-gold-rush/?utm_source=openai" TargetMode="External"/><Relationship Id="rId20" Type="http://schemas.openxmlformats.org/officeDocument/2006/relationships/hyperlink" Target="https://www.aixenergy.io/content/files/2025/05/5_Trends_Final_05.30.25.pdf?utm_source=openai" TargetMode="External"/><Relationship Id="rId21" Type="http://schemas.openxmlformats.org/officeDocument/2006/relationships/hyperlink" Target="https://www.insurance-canada.ca/2025/12/12/beazley-predictions-2026-ai-luddite-cyber-outages/" TargetMode="External"/><Relationship Id="rId22" Type="http://schemas.openxmlformats.org/officeDocument/2006/relationships/hyperlink" Target="https://insurance-canada.ca/2025/12/12/beazley-predictions-2026-ai-luddite-cyber-outag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