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Circle's conditional OCC approval sparks cautious optimism amid regulatory and market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Circle Internet Group shares swung sharply on Friday, finishing the regular session in the low $80s after an intraday high near $91, as investors digested a landmark but conditional regulatory development. The Office of the Comptroller of the Currency granted preliminary conditional approval tied to Circle’s plan to form a national trust bank, a step that sent the company back into the regulatory spotlight even as the stock fell late in the day. </w:t>
      </w:r>
      <w:hyperlink r:id="rId9">
        <w:r>
          <w:rPr>
            <w:color w:val="0000EE"/>
            <w:u w:val="single"/>
          </w:rPr>
          <w:t>[1]</w:t>
        </w:r>
      </w:hyperlink>
      <w:hyperlink r:id="rId10">
        <w:r>
          <w:rPr>
            <w:color w:val="0000EE"/>
            <w:u w:val="single"/>
          </w:rPr>
          <w:t>[6]</w:t>
        </w:r>
      </w:hyperlink>
      <w:r/>
    </w:p>
    <w:p>
      <w:r/>
      <w:r>
        <w:t xml:space="preserve">The OCC’s decision, announced on Dec. 12, 2025, was one of five preliminary conditional approvals the regulator issued to firms seeking national trust charters. According to the original report, Circle said it received conditional approval to establish First National Digital Currency Bank, N.A., which Circle frames as infrastructure strengthening for its USDC stablecoin business. </w:t>
      </w:r>
      <w:hyperlink r:id="rId9">
        <w:r>
          <w:rPr>
            <w:color w:val="0000EE"/>
            <w:u w:val="single"/>
          </w:rPr>
          <w:t>[1]</w:t>
        </w:r>
      </w:hyperlink>
      <w:hyperlink r:id="rId10">
        <w:r>
          <w:rPr>
            <w:color w:val="0000EE"/>
            <w:u w:val="single"/>
          </w:rPr>
          <w:t>[6]</w:t>
        </w:r>
      </w:hyperlink>
      <w:r/>
    </w:p>
    <w:p>
      <w:r/>
      <w:r>
        <w:t xml:space="preserve">The word “conditional” is consequential. The OCC described the approval as preliminary conditional approval, not final authority to commence operations; final authorisation will require satisfaction of pre‑opening conditions and remains subject to modification or rescission. The decision letter also sets an 18‑month window: if the bank does not open within that period the approval expires. According to the original report, that timing and the pre‑opening checklist are central to how investors should interpret the milestone. </w:t>
      </w:r>
      <w:hyperlink r:id="rId9">
        <w:r>
          <w:rPr>
            <w:color w:val="0000EE"/>
            <w:u w:val="single"/>
          </w:rPr>
          <w:t>[1]</w:t>
        </w:r>
      </w:hyperlink>
      <w:r/>
    </w:p>
    <w:p>
      <w:r/>
      <w:r>
        <w:t xml:space="preserve">Operationally, the OCC decision letter lays out the intended roles for the proposed national trust bank: managing the liquid asset reserve backing USDC on a directed basis, performing collateral trustee services for USDC holders in a fiduciary capacity, and providing digital asset custody services for affiliates. The letter also explicitly states the proposed bank will not issue stablecoins. Industry data and the company’s announcement together present the charter as a supervision and custody framework rather than a route to deposit‑taking retail banking. </w:t>
      </w:r>
      <w:hyperlink r:id="rId9">
        <w:r>
          <w:rPr>
            <w:color w:val="0000EE"/>
            <w:u w:val="single"/>
          </w:rPr>
          <w:t>[1]</w:t>
        </w:r>
      </w:hyperlink>
      <w:r/>
    </w:p>
    <w:p>
      <w:r/>
      <w:r>
        <w:t xml:space="preserve">Reporting around the approvals has emphasised limits on trust charters relative to full commercial banks: national trust banks can facilitate asset management and payments‑related functions but do not carry the same powers as traditional deposit‑taking, loan‑making banks. That distinction was central to some industry commentary cautioning against equating a trust charter with a conventional banking franchise. </w:t>
      </w:r>
      <w:hyperlink r:id="rId9">
        <w:r>
          <w:rPr>
            <w:color w:val="0000EE"/>
            <w:u w:val="single"/>
          </w:rPr>
          <w:t>[1]</w:t>
        </w:r>
      </w:hyperlink>
      <w:hyperlink r:id="rId10">
        <w:r>
          <w:rPr>
            <w:color w:val="0000EE"/>
            <w:u w:val="single"/>
          </w:rPr>
          <w:t>[6]</w:t>
        </w:r>
      </w:hyperlink>
      <w:r/>
    </w:p>
    <w:p>
      <w:r/>
      <w:r>
        <w:t xml:space="preserve">The regulatory milestone produced a mixed policy and industry response. The OCC framed the approvals as pro‑competitive, quoting Comptroller Jonathan V. Gould saying new entrants are “good for consumers, the banking industry and the economy.” At the same time, bank trade groups flagged open questions about whether supervisory requirements are appropriately tailored and warned of potential regulatory arbitrage, leaving parts of the debate unresolved. According to the original report, that push‑and‑pull is likely to shape headlines ahead of any final authorisation. </w:t>
      </w:r>
      <w:hyperlink r:id="rId9">
        <w:r>
          <w:rPr>
            <w:color w:val="0000EE"/>
            <w:u w:val="single"/>
          </w:rPr>
          <w:t>[1]</w:t>
        </w:r>
      </w:hyperlink>
      <w:r/>
    </w:p>
    <w:p>
      <w:r/>
      <w:r>
        <w:t xml:space="preserve">Market dynamics help explain why the stock fell despite what might otherwise read as a positive regulatory step. Broader U.S. equity weakness and risk‑off flows hit higher‑beta and crypto‑linked names; the “conditional” nature of the approval means execution risk remains; and Circle’s economics are sensitive to interest rates because reserve income is a central revenue driver. Those factors, combined with end‑of‑week repositioning and reported planned insider sales, appear to have amplified downside pressure into the close. </w:t>
      </w:r>
      <w:hyperlink r:id="rId9">
        <w:r>
          <w:rPr>
            <w:color w:val="0000EE"/>
            <w:u w:val="single"/>
          </w:rPr>
          <w:t>[1]</w:t>
        </w:r>
      </w:hyperlink>
      <w:hyperlink r:id="rId10">
        <w:r>
          <w:rPr>
            <w:color w:val="0000EE"/>
            <w:u w:val="single"/>
          </w:rPr>
          <w:t>[6]</w:t>
        </w:r>
      </w:hyperlink>
      <w:r/>
    </w:p>
    <w:p>
      <w:r/>
      <w:r>
        <w:t xml:space="preserve">Analyst views are far from unanimous and highlight the valuation debate now playing out. One broker downgraded Circle from Neutral to Sell on valuation concerns following the passage of U.S. stablecoin legislation, while other firms have moved in the opposite direction , with JP Morgan upgrading to Overweight and firms such as Deutsche Bank and William Blair publishing higher price targets or positive initiations. Consensus target estimates cluster well above Friday’s close, underscoring the wide spread of opinions on Circle’s medium‑term prospects and the sensitivity of the shares to new information. </w:t>
      </w:r>
      <w:hyperlink r:id="rId11">
        <w:r>
          <w:rPr>
            <w:color w:val="0000EE"/>
            <w:u w:val="single"/>
          </w:rPr>
          <w:t>[2]</w:t>
        </w:r>
      </w:hyperlink>
      <w:hyperlink r:id="rId12">
        <w:r>
          <w:rPr>
            <w:color w:val="0000EE"/>
            <w:u w:val="single"/>
          </w:rPr>
          <w:t>[3]</w:t>
        </w:r>
      </w:hyperlink>
      <w:hyperlink r:id="rId13">
        <w:r>
          <w:rPr>
            <w:color w:val="0000EE"/>
            <w:u w:val="single"/>
          </w:rPr>
          <w:t>[4]</w:t>
        </w:r>
      </w:hyperlink>
      <w:hyperlink r:id="rId14">
        <w:r>
          <w:rPr>
            <w:color w:val="0000EE"/>
            <w:u w:val="single"/>
          </w:rPr>
          <w:t>[5]</w:t>
        </w:r>
      </w:hyperlink>
      <w:hyperlink r:id="rId9">
        <w:r>
          <w:rPr>
            <w:color w:val="0000EE"/>
            <w:u w:val="single"/>
          </w:rPr>
          <w:t>[1]</w:t>
        </w:r>
      </w:hyperlink>
      <w:r/>
    </w:p>
    <w:p>
      <w:r/>
      <w:r>
        <w:t xml:space="preserve">Looking ahead to the next trading session, the items most likely to move the stock are clearer detail on OCC pre‑opening conditions and timelines, further public commentary from policy stakeholders and banking groups, any material developments on interest‑rate direction or crypto market sentiment, and additional filings or insider activity that could change perceived supply dynamics. The company’s next earnings date remains unannounced on third‑party calendars, so in the near term regulatory clarity and macro direction may be the dominant drivers of price action. </w:t>
      </w:r>
      <w:hyperlink r:id="rId9">
        <w:r>
          <w:rPr>
            <w:color w:val="0000EE"/>
            <w:u w:val="single"/>
          </w:rPr>
          <w:t>[1]</w:t>
        </w:r>
      </w:hyperlink>
      <w:r/>
    </w:p>
    <w:p>
      <w:r/>
      <w:r>
        <w:t xml:space="preserve">In sum, the OCC’s conditional approval gives investors a clearer sense of Circle’s intended regulatory and operational architecture around USDC, but it does not remove execution risk. The story for the shares is shifting from the headline itself to the details: how onerous the pre‑opening conditions prove to be, how political and trade‑group pushback evolves, and how the charter ultimately affects Circle’s cost base and competitive position. Short‑term trading appears likely to remain headline‑driven until those uncertainties resolve. </w:t>
      </w:r>
      <w:hyperlink r:id="rId9">
        <w:r>
          <w:rPr>
            <w:color w:val="0000EE"/>
            <w:u w:val="single"/>
          </w:rPr>
          <w:t>[1]</w:t>
        </w:r>
      </w:hyperlink>
      <w:hyperlink r:id="rId10">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(ts2.tech)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[6]</w:t>
        </w:r>
      </w:hyperlink>
      <w:r>
        <w:t xml:space="preserve"> (gurufocus.com) - Paragraph 1, Paragraph 5, Paragraph 7, Paragraph 10 </w:t>
      </w:r>
      <w:r/>
    </w:p>
    <w:p>
      <w:pPr>
        <w:pStyle w:val="ListBullet"/>
        <w:spacing w:line="240" w:lineRule="auto"/>
        <w:ind w:left="720"/>
      </w:pPr>
      <w:r/>
      <w:hyperlink r:id="rId11">
        <w:r>
          <w:rPr>
            <w:color w:val="0000EE"/>
            <w:u w:val="single"/>
          </w:rPr>
          <w:t>[2]</w:t>
        </w:r>
      </w:hyperlink>
      <w:r>
        <w:t xml:space="preserve"> (finance.yahoo.com) - Paragraph 8 </w:t>
      </w:r>
      <w:r/>
    </w:p>
    <w:p>
      <w:pPr>
        <w:pStyle w:val="ListBullet"/>
        <w:spacing w:line="240" w:lineRule="auto"/>
        <w:ind w:left="720"/>
      </w:pPr>
      <w:r/>
      <w:hyperlink r:id="rId12">
        <w:r>
          <w:rPr>
            <w:color w:val="0000EE"/>
            <w:u w:val="single"/>
          </w:rPr>
          <w:t>[3]</w:t>
        </w:r>
      </w:hyperlink>
      <w:r>
        <w:t xml:space="preserve"> (nasdaq.com) - Paragraph 8 </w:t>
      </w:r>
      <w:r/>
    </w:p>
    <w:p>
      <w:pPr>
        <w:pStyle w:val="ListBullet"/>
        <w:spacing w:line="240" w:lineRule="auto"/>
        <w:ind w:left="720"/>
      </w:pPr>
      <w:r/>
      <w:hyperlink r:id="rId13">
        <w:r>
          <w:rPr>
            <w:color w:val="0000EE"/>
            <w:u w:val="single"/>
          </w:rPr>
          <w:t>[4]</w:t>
        </w:r>
      </w:hyperlink>
      <w:r>
        <w:t xml:space="preserve"> (nasdaq.com) - Paragraph 8 </w:t>
      </w:r>
      <w:r/>
    </w:p>
    <w:p>
      <w:pPr>
        <w:pStyle w:val="ListBullet"/>
        <w:spacing w:line="240" w:lineRule="auto"/>
        <w:ind w:left="720"/>
      </w:pPr>
      <w:r/>
      <w:hyperlink r:id="rId14">
        <w:r>
          <w:rPr>
            <w:color w:val="0000EE"/>
            <w:u w:val="single"/>
          </w:rPr>
          <w:t>[5]</w:t>
        </w:r>
      </w:hyperlink>
      <w:r>
        <w:t xml:space="preserve"> (nasdaq.com)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https://ts2.tech/en/circle-internet-group-nyse-crcl-stock-after-hours-dec-12-2025-occ-trust-bank-charter-news-insider-filings-analyst-targets-and-what-to-watch-next/</w:t>
        </w:r>
      </w:hyperlink>
      <w:r>
        <w:t xml:space="preserve"> - Please view link - unable to able to access data</w:t>
      </w:r>
      <w:r/>
    </w:p>
    <w:p>
      <w:pPr>
        <w:pStyle w:val="ListNumber"/>
        <w:spacing w:line="240" w:lineRule="auto"/>
        <w:ind w:left="720"/>
      </w:pPr>
      <w:r/>
      <w:hyperlink r:id="rId11">
        <w:r>
          <w:rPr>
            <w:color w:val="0000EE"/>
            <w:u w:val="single"/>
          </w:rPr>
          <w:t>https://finance.yahoo.com/news/circle-internet-group-stock-falls-115623328.html</w:t>
        </w:r>
      </w:hyperlink>
      <w:r>
        <w:t xml:space="preserve"> - Circle Internet Group's stock declined over 3% following its first downgrade since its June IPO. Analyst Ed Engel downgraded the stock from Neutral to Sell with a price target of $130, citing concerns over the company's long-term economics relative to its $53 billion valuation. The downgrade follows the passage of U.S. stablecoin legislation. (</w:t>
      </w:r>
      <w:hyperlink r:id="rId16">
        <w:r>
          <w:rPr>
            <w:color w:val="0000EE"/>
            <w:u w:val="single"/>
          </w:rPr>
          <w:t>finance.yahoo.com</w:t>
        </w:r>
      </w:hyperlink>
      <w:r>
        <w:t>)</w:t>
      </w:r>
      <w:r/>
    </w:p>
    <w:p>
      <w:pPr>
        <w:pStyle w:val="ListNumber"/>
        <w:spacing w:line="240" w:lineRule="auto"/>
        <w:ind w:left="720"/>
      </w:pPr>
      <w:r/>
      <w:hyperlink r:id="rId12">
        <w:r>
          <w:rPr>
            <w:color w:val="0000EE"/>
            <w:u w:val="single"/>
          </w:rPr>
          <w:t>https://www.nasdaq.com/articles/jp-morgan-upgrades-circle-internet-group-crcl</w:t>
        </w:r>
      </w:hyperlink>
      <w:r>
        <w:t xml:space="preserve"> - JP Morgan upgraded Circle Internet Group's outlook from Underweight to Overweight, with an average one-year price target of $169.28 per share, suggesting a 105.96% upside from its latest closing price of $82.19. The projected annual non-GAAP EPS is -0.27. (</w:t>
      </w:r>
      <w:hyperlink r:id="rId17">
        <w:r>
          <w:rPr>
            <w:color w:val="0000EE"/>
            <w:u w:val="single"/>
          </w:rPr>
          <w:t>nasdaq.com</w:t>
        </w:r>
      </w:hyperlink>
      <w:r>
        <w:t>)</w:t>
      </w:r>
      <w:r/>
    </w:p>
    <w:p>
      <w:pPr>
        <w:pStyle w:val="ListNumber"/>
        <w:spacing w:line="240" w:lineRule="auto"/>
        <w:ind w:left="720"/>
      </w:pPr>
      <w:r/>
      <w:hyperlink r:id="rId13">
        <w:r>
          <w:rPr>
            <w:color w:val="0000EE"/>
            <w:u w:val="single"/>
          </w:rPr>
          <w:t>https://www.nasdaq.com/articles/deutsche-bank-maintains-circle-internet-group-crcl-hold-recommendation</w:t>
        </w:r>
      </w:hyperlink>
      <w:r>
        <w:t xml:space="preserve"> - Deutsche Bank maintained a Hold recommendation for Circle Internet Group, with an average one-year price target of $169.28 per share, indicating a 96.15% upside from its latest closing price of $86.30. The projected annual non-GAAP EPS is -0.27. (</w:t>
      </w:r>
      <w:hyperlink r:id="rId18">
        <w:r>
          <w:rPr>
            <w:color w:val="0000EE"/>
            <w:u w:val="single"/>
          </w:rPr>
          <w:t>nasdaq.com</w:t>
        </w:r>
      </w:hyperlink>
      <w:r>
        <w:t>)</w:t>
      </w:r>
      <w:r/>
    </w:p>
    <w:p>
      <w:pPr>
        <w:pStyle w:val="ListNumber"/>
        <w:spacing w:line="240" w:lineRule="auto"/>
        <w:ind w:left="720"/>
      </w:pPr>
      <w:r/>
      <w:hyperlink r:id="rId14">
        <w:r>
          <w:rPr>
            <w:color w:val="0000EE"/>
            <w:u w:val="single"/>
          </w:rPr>
          <w:t>https://www.nasdaq.com/articles/william-blair-initiates-coverage-circle-internet-group-crcl-outperform-recommendation</w:t>
        </w:r>
      </w:hyperlink>
      <w:r>
        <w:t xml:space="preserve"> - William Blair initiated coverage of Circle Internet Group with an Outperform recommendation, setting an average one-year price target of $184.88 per share, suggesting a 34.48% upside from its latest closing price of $137.47. The projected annual non-GAAP EPS is -0.27. (</w:t>
      </w:r>
      <w:hyperlink r:id="rId19">
        <w:r>
          <w:rPr>
            <w:color w:val="0000EE"/>
            <w:u w:val="single"/>
          </w:rPr>
          <w:t>nasdaq.com</w:t>
        </w:r>
      </w:hyperlink>
      <w:r>
        <w:t>)</w:t>
      </w:r>
      <w:r/>
    </w:p>
    <w:p>
      <w:pPr>
        <w:pStyle w:val="ListNumber"/>
        <w:spacing w:line="240" w:lineRule="auto"/>
        <w:ind w:left="720"/>
      </w:pPr>
      <w:r/>
      <w:hyperlink r:id="rId10">
        <w:r>
          <w:rPr>
            <w:color w:val="0000EE"/>
            <w:u w:val="single"/>
          </w:rPr>
          <w:t>https://www.gurufocus.com/news/3250186/circle-internet-crcl-secures-occ-approval-amid-stock-decline</w:t>
        </w:r>
      </w:hyperlink>
      <w:r>
        <w:t xml:space="preserve"> - Circle Internet Group received conditional approval from the Office of the Comptroller of the Currency (OCC) for its First National Digital Currency Bank, a significant step in enhancing the infrastructure for its USDC stablecoin. Despite this, the company's stock declined by 7.3%, influenced by broader cryptocurrency market weaknesses. (</w:t>
      </w:r>
      <w:hyperlink r:id="rId20">
        <w:r>
          <w:rPr>
            <w:color w:val="0000EE"/>
            <w:u w:val="single"/>
          </w:rPr>
          <w:t>gurufocus.com</w:t>
        </w:r>
      </w:hyperlink>
      <w:r>
        <w:t>)</w:t>
      </w:r>
      <w:r/>
    </w:p>
    <w:p>
      <w:pPr>
        <w:pStyle w:val="ListNumber"/>
        <w:spacing w:line="240" w:lineRule="auto"/>
        <w:ind w:left="720"/>
      </w:pPr>
      <w:r/>
      <w:hyperlink r:id="rId11">
        <w:r>
          <w:rPr>
            <w:color w:val="0000EE"/>
            <w:u w:val="single"/>
          </w:rPr>
          <w:t>https://finance.yahoo.com/news/circle-internet-group-stock-falls-115623328.html</w:t>
        </w:r>
      </w:hyperlink>
      <w:r>
        <w:t xml:space="preserve"> - Circle Internet Group's stock declined over 3% following its first downgrade since its June IPO. Analyst Ed Engel downgraded the stock from Neutral to Sell with a price target of $130, citing concerns over the company's long-term economics relative to its $53 billion valuation. The downgrade follows the passage of U.S. stablecoin legislation. (</w:t>
      </w:r>
      <w:hyperlink r:id="rId16">
        <w:r>
          <w:rPr>
            <w:color w:val="0000EE"/>
            <w:u w:val="single"/>
          </w:rPr>
          <w:t>finance.yahoo.com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circle-internet-group-nyse-crcl-stock-after-hours-dec-12-2025-occ-trust-bank-charter-news-insider-filings-analyst-targets-and-what-to-watch-next/" TargetMode="External"/><Relationship Id="rId10" Type="http://schemas.openxmlformats.org/officeDocument/2006/relationships/hyperlink" Target="https://www.gurufocus.com/news/3250186/circle-internet-crcl-secures-occ-approval-amid-stock-decline" TargetMode="External"/><Relationship Id="rId11" Type="http://schemas.openxmlformats.org/officeDocument/2006/relationships/hyperlink" Target="https://finance.yahoo.com/news/circle-internet-group-stock-falls-115623328.html" TargetMode="External"/><Relationship Id="rId12" Type="http://schemas.openxmlformats.org/officeDocument/2006/relationships/hyperlink" Target="https://www.nasdaq.com/articles/jp-morgan-upgrades-circle-internet-group-crcl" TargetMode="External"/><Relationship Id="rId13" Type="http://schemas.openxmlformats.org/officeDocument/2006/relationships/hyperlink" Target="https://www.nasdaq.com/articles/deutsche-bank-maintains-circle-internet-group-crcl-hold-recommendation" TargetMode="External"/><Relationship Id="rId14" Type="http://schemas.openxmlformats.org/officeDocument/2006/relationships/hyperlink" Target="https://www.nasdaq.com/articles/william-blair-initiates-coverage-circle-internet-group-crcl-outperform-recommendation" TargetMode="External"/><Relationship Id="rId15" Type="http://schemas.openxmlformats.org/officeDocument/2006/relationships/hyperlink" Target="https://www.noahwire.com" TargetMode="External"/><Relationship Id="rId16" Type="http://schemas.openxmlformats.org/officeDocument/2006/relationships/hyperlink" Target="https://finance.yahoo.com/news/circle-internet-group-stock-falls-115623328.html?utm_source=openai" TargetMode="External"/><Relationship Id="rId17" Type="http://schemas.openxmlformats.org/officeDocument/2006/relationships/hyperlink" Target="https://www.nasdaq.com/articles/jp-morgan-upgrades-circle-internet-group-crcl?utm_source=openai" TargetMode="External"/><Relationship Id="rId18" Type="http://schemas.openxmlformats.org/officeDocument/2006/relationships/hyperlink" Target="https://www.nasdaq.com/articles/deutsche-bank-maintains-circle-internet-group-crcl-hold-recommendation?utm_source=openai" TargetMode="External"/><Relationship Id="rId19" Type="http://schemas.openxmlformats.org/officeDocument/2006/relationships/hyperlink" Target="https://www.nasdaq.com/articles/william-blair-initiates-coverage-circle-internet-group-crcl-outperform-recommendation?utm_source=openai" TargetMode="External"/><Relationship Id="rId20" Type="http://schemas.openxmlformats.org/officeDocument/2006/relationships/hyperlink" Target="https://www.gurufocus.com/news/3250186/circle-internet-crcl-secures-occ-approval-amid-stock-declin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