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Disruptive potential of premium features and robust market segmentation in US smart expense‑splitting apps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United States presents a fertile but fiercely competitive market for “smart” expense‑splitting applications: high smartphone penetration, widespread use of peer‑to‑peer payment rails and a cultural norm of shared living and travel costs create strong demand, yet dominant incumbents and complex regulatory and technical requirements raise substantial barriers to entry. According to market analyses, the global bill‑splitting apps market is large and growing, with projections placing North America among the fastest adopters , a backdrop that both justifies investment and heightens the need for rigorous preparation. </w:t>
      </w:r>
      <w:hyperlink r:id="rId9">
        <w:r>
          <w:rPr>
            <w:color w:val="0000EE"/>
            <w:u w:val="single"/>
          </w:rPr>
          <w:t>[1]</w:t>
        </w:r>
      </w:hyperlink>
      <w:hyperlink r:id="rId10">
        <w:r>
          <w:rPr>
            <w:color w:val="0000EE"/>
            <w:u w:val="single"/>
          </w:rPr>
          <w:t>[5]</w:t>
        </w:r>
      </w:hyperlink>
      <w:hyperlink r:id="rId11">
        <w:r>
          <w:rPr>
            <w:color w:val="0000EE"/>
            <w:u w:val="single"/>
          </w:rPr>
          <w:t>[6]</w:t>
        </w:r>
      </w:hyperlink>
      <w:r/>
    </w:p>
    <w:p>
      <w:r/>
      <w:r>
        <w:t xml:space="preserve">Successfully differentiating a new app in this space requires moving beyond basic bill division to demonstrable, monetisable “smart” features. Industry incumbents such as Splitwise, Venmo (part of PayPal) and Cash App already cover core user expectations , group ledgers, simplified settlement and instant transfers , so new entrants must offer clearly superior functionality, for example AI‑driven receipt OCR and auto‑categorisation, automated debt simplification across complex group chains, or seamless integration with personal and corporate budgeting tools. According to company product descriptions and market practice, integration with existing P2P rails and consumer familiarity with Venmo, PayPal and Cash App make frictionless payment linking a non‑negotiable product requirement. </w:t>
      </w:r>
      <w:hyperlink r:id="rId12">
        <w:r>
          <w:rPr>
            <w:color w:val="0000EE"/>
            <w:u w:val="single"/>
          </w:rPr>
          <w:t>[2]</w:t>
        </w:r>
      </w:hyperlink>
      <w:hyperlink r:id="rId13">
        <w:r>
          <w:rPr>
            <w:color w:val="0000EE"/>
            <w:u w:val="single"/>
          </w:rPr>
          <w:t>[3]</w:t>
        </w:r>
      </w:hyperlink>
      <w:hyperlink r:id="rId14">
        <w:r>
          <w:rPr>
            <w:color w:val="0000EE"/>
            <w:u w:val="single"/>
          </w:rPr>
          <w:t>[4]</w:t>
        </w:r>
      </w:hyperlink>
      <w:hyperlink r:id="rId9">
        <w:r>
          <w:rPr>
            <w:color w:val="0000EE"/>
            <w:u w:val="single"/>
          </w:rPr>
          <w:t>[1]</w:t>
        </w:r>
      </w:hyperlink>
      <w:r/>
    </w:p>
    <w:p>
      <w:r/>
      <w:r>
        <w:t xml:space="preserve">Market research must therefore be tightly focused: identify specific user pain points that incumbents do not solve, segment those users by willingness to pay, and prioritise features that support a defensible premium offering. Primary research and psychographic segmentation can reveal niches , frequent travellers, long‑term roommates, digital nomads or small commercial groups , whose behaviour and price sensitivity differ from mass consumer cohorts. The strategic edge will come from converting these insights into an MVP that targets a high‑value segment rather than attempting broad, undifferentiated adoption. </w:t>
      </w:r>
      <w:hyperlink r:id="rId9">
        <w:r>
          <w:rPr>
            <w:color w:val="0000EE"/>
            <w:u w:val="single"/>
          </w:rPr>
          <w:t>[1]</w:t>
        </w:r>
      </w:hyperlink>
      <w:r/>
    </w:p>
    <w:p>
      <w:r/>
      <w:r>
        <w:t xml:space="preserve">A rigorous feasibility study is the operational reality check: technical ambitions such as ML models for OCR, multi‑bank transaction syncing (via third‑party APIs), and real‑time reconciliation substantially increase development and ongoing costs. Cloud architecture choices, scalability requirements for millions of users, and the compute‑intensity of continuous OCR and AI workloads must be modelled against realistic server and API fees. Financial modelling should therefore incorporate variable CAC, LTV sensitivity scenarios and the elevated initial outlays for “smart” features to determine break‑even timelines. Market forecasts and sector reports underscore the scale of opportunity but also the importance of conservative unit economics. </w:t>
      </w:r>
      <w:hyperlink r:id="rId9">
        <w:r>
          <w:rPr>
            <w:color w:val="0000EE"/>
            <w:u w:val="single"/>
          </w:rPr>
          <w:t>[1]</w:t>
        </w:r>
      </w:hyperlink>
      <w:hyperlink r:id="rId10">
        <w:r>
          <w:rPr>
            <w:color w:val="0000EE"/>
            <w:u w:val="single"/>
          </w:rPr>
          <w:t>[5]</w:t>
        </w:r>
      </w:hyperlink>
      <w:hyperlink r:id="rId11">
        <w:r>
          <w:rPr>
            <w:color w:val="0000EE"/>
            <w:u w:val="single"/>
          </w:rPr>
          <w:t>[6]</w:t>
        </w:r>
      </w:hyperlink>
      <w:hyperlink r:id="rId15">
        <w:r>
          <w:rPr>
            <w:color w:val="0000EE"/>
            <w:u w:val="single"/>
          </w:rPr>
          <w:t>[7]</w:t>
        </w:r>
      </w:hyperlink>
      <w:r/>
    </w:p>
    <w:p>
      <w:r/>
      <w:r>
        <w:t xml:space="preserve">Legal and security frameworks are central to viability. Any feature that handles card data or facilitates transfers will trigger payment security standards (for example PCI DSS where card data is stored) and may implicate state and federal money‑transmission laws. The distinction between acting purely as a ledger and acting as a money transmitter materially changes licensing, capital and compliance costs; structuring the product to leverage existing P2P rails rather than holding user funds can materially reduce regulatory burden. Robust data‑security posture and early certification (for example SOC 2 Type II for enterprise integrations) are frequently cited as necessary investments to gain enterprise and partner trust. </w:t>
      </w:r>
      <w:hyperlink r:id="rId9">
        <w:r>
          <w:rPr>
            <w:color w:val="0000EE"/>
            <w:u w:val="single"/>
          </w:rPr>
          <w:t>[1]</w:t>
        </w:r>
      </w:hyperlink>
      <w:r/>
    </w:p>
    <w:p>
      <w:r/>
      <w:r>
        <w:t xml:space="preserve">Operational readiness must also cover support, fraud prevention and talent. FinTech products require 24/7 customer support, sophisticated fraud‑risk systems and staff or outsourced teams able to maintain ML pipelines, security architecture and regulatory compliance. For B2B or enterprise use cases, go‑to‑market costs will shift toward sales and partnership development (trade shows, dedicated account teams), and pricing models can support higher ARPU but require longer sales cycles and higher CAC. The BalanceBuddy case demonstrates how a B2B focus changes resource allocation: enterprise security and tailored integrations created a higher‑value proposition but demanded different sales and compliance investments. </w:t>
      </w:r>
      <w:hyperlink r:id="rId9">
        <w:r>
          <w:rPr>
            <w:color w:val="0000EE"/>
            <w:u w:val="single"/>
          </w:rPr>
          <w:t>[1]</w:t>
        </w:r>
      </w:hyperlink>
      <w:r/>
    </w:p>
    <w:p>
      <w:r/>
      <w:r>
        <w:t xml:space="preserve">Monetisation choices must be tested against realistic adoption scenarios. Subscription tiers for premium automation, transaction fees for instant settlement, and affiliate or partner revenue streams are viable, but unit economics must reflect third‑party API costs, payment processing fees and customer support overhead. A defensible business plan for investors will therefore present dynamic five‑year forecasts, sensitivity analyses for churn and CAC, and clear KPIs (MAU, ARPU, churn) tied to milestones that unlock follow‑on funding or strategic partnerships. Third‑party market reports show a large TAM but also note rising development and maintenance costs as a common failure point for startups, reinforcing the need for tightly scoped MVPs and phased feature roll‑outs. </w:t>
      </w:r>
      <w:hyperlink r:id="rId9">
        <w:r>
          <w:rPr>
            <w:color w:val="0000EE"/>
            <w:u w:val="single"/>
          </w:rPr>
          <w:t>[1]</w:t>
        </w:r>
      </w:hyperlink>
      <w:hyperlink r:id="rId10">
        <w:r>
          <w:rPr>
            <w:color w:val="0000EE"/>
            <w:u w:val="single"/>
          </w:rPr>
          <w:t>[5]</w:t>
        </w:r>
      </w:hyperlink>
      <w:hyperlink r:id="rId15">
        <w:r>
          <w:rPr>
            <w:color w:val="0000EE"/>
            <w:u w:val="single"/>
          </w:rPr>
          <w:t>[7]</w:t>
        </w:r>
      </w:hyperlink>
      <w:r/>
    </w:p>
    <w:p>
      <w:r/>
      <w:r>
        <w:t xml:space="preserve">Specialist advisory support can accelerate readiness by translating research into investor‑grade documentation, realistic financials and regulated technical designs. Firms that combine primary market research, legal navigation of money‑transmission frameworks and enterprise compliance planning can reduce execution risk and sharpen go‑to‑market strategies, particularly for founders aiming to attract FinTech‑focused VCs or to pursue enterprise pilots. The BalanceBuddy engagement illustrates how targeted research, SOC 2 planning and investor‑oriented financial modelling helped secure seed funding and early pilots. That experience underscores the practical value of blending market insight with operational and compliance planning when entering the US FinTech ecosystem. </w:t>
      </w:r>
      <w:hyperlink r:id="rId9">
        <w:r>
          <w:rPr>
            <w:color w:val="0000EE"/>
            <w:u w:val="single"/>
          </w:rPr>
          <w:t>[1]</w:t>
        </w:r>
      </w:hyperlink>
      <w:r/>
    </w:p>
    <w:p>
      <w:r/>
      <w:r>
        <w:t xml:space="preserve">In short, the US market offers substantial opportunity for a Smart Expense Splitting App, but success will depend on disciplined market segmentation, a tightly prioritised technical roadmap, realistic financial modelling that accounts for regulatory and operational costs, and investor‑grade planning. Firms positioning themselves as “AI‑driven financial referees” must prove both technological defensibility and commercially sensible unit economics before seeking scale. </w:t>
      </w:r>
      <w:hyperlink r:id="rId9">
        <w:r>
          <w:rPr>
            <w:color w:val="0000EE"/>
            <w:u w:val="single"/>
          </w:rPr>
          <w:t>[1]</w:t>
        </w:r>
      </w:hyperlink>
      <w:hyperlink r:id="rId12">
        <w:r>
          <w:rPr>
            <w:color w:val="0000EE"/>
            <w:u w:val="single"/>
          </w:rPr>
          <w:t>[2]</w:t>
        </w:r>
      </w:hyperlink>
      <w:hyperlink r:id="rId13">
        <w:r>
          <w:rPr>
            <w:color w:val="0000EE"/>
            <w:u w:val="single"/>
          </w:rPr>
          <w:t>[3]</w:t>
        </w:r>
      </w:hyperlink>
      <w:hyperlink r:id="rId14">
        <w:r>
          <w:rPr>
            <w:color w:val="0000EE"/>
            <w:u w:val="single"/>
          </w:rPr>
          <w:t>[4]</w:t>
        </w:r>
      </w:hyperlink>
      <w:hyperlink r:id="rId10">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(Aviaan Accounting) - Paragraph 1, Paragraph 2, Paragraph 3, Paragraph 4, Paragraph 5, Paragraph 6, Paragraph 7, Paragraph 8, Paragraph 9 </w:t>
      </w:r>
      <w:r/>
    </w:p>
    <w:p>
      <w:pPr>
        <w:pStyle w:val="ListBullet"/>
        <w:spacing w:line="240" w:lineRule="auto"/>
        <w:ind w:left="720"/>
      </w:pPr>
      <w:r/>
      <w:hyperlink r:id="rId12">
        <w:r>
          <w:rPr>
            <w:color w:val="0000EE"/>
            <w:u w:val="single"/>
          </w:rPr>
          <w:t>[2]</w:t>
        </w:r>
      </w:hyperlink>
      <w:r>
        <w:t xml:space="preserve"> (Splitwise) - Paragraph 2, Paragraph 9 </w:t>
      </w:r>
      <w:r/>
    </w:p>
    <w:p>
      <w:pPr>
        <w:pStyle w:val="ListBullet"/>
        <w:spacing w:line="240" w:lineRule="auto"/>
        <w:ind w:left="720"/>
      </w:pPr>
      <w:r/>
      <w:hyperlink r:id="rId13">
        <w:r>
          <w:rPr>
            <w:color w:val="0000EE"/>
            <w:u w:val="single"/>
          </w:rPr>
          <w:t>[3]</w:t>
        </w:r>
      </w:hyperlink>
      <w:r>
        <w:t xml:space="preserve"> (PayPal / Venmo) - Paragraph 2, Paragraph 9 </w:t>
      </w:r>
      <w:r/>
    </w:p>
    <w:p>
      <w:pPr>
        <w:pStyle w:val="ListBullet"/>
        <w:spacing w:line="240" w:lineRule="auto"/>
        <w:ind w:left="720"/>
      </w:pPr>
      <w:r/>
      <w:hyperlink r:id="rId14">
        <w:r>
          <w:rPr>
            <w:color w:val="0000EE"/>
            <w:u w:val="single"/>
          </w:rPr>
          <w:t>[4]</w:t>
        </w:r>
      </w:hyperlink>
      <w:r>
        <w:t xml:space="preserve"> (Cash App) - Paragraph 2, Paragraph 9 </w:t>
      </w:r>
      <w:r/>
    </w:p>
    <w:p>
      <w:pPr>
        <w:pStyle w:val="ListBullet"/>
        <w:spacing w:line="240" w:lineRule="auto"/>
        <w:ind w:left="720"/>
      </w:pPr>
      <w:r/>
      <w:hyperlink r:id="rId10">
        <w:r>
          <w:rPr>
            <w:color w:val="0000EE"/>
            <w:u w:val="single"/>
          </w:rPr>
          <w:t>[5]</w:t>
        </w:r>
      </w:hyperlink>
      <w:r>
        <w:t xml:space="preserve"> (Market Research Future) - Paragraph 1, Paragraph 4, Paragraph 7 </w:t>
      </w:r>
      <w:r/>
    </w:p>
    <w:p>
      <w:pPr>
        <w:pStyle w:val="ListBullet"/>
        <w:spacing w:line="240" w:lineRule="auto"/>
        <w:ind w:left="720"/>
      </w:pPr>
      <w:r/>
      <w:hyperlink r:id="rId11">
        <w:r>
          <w:rPr>
            <w:color w:val="0000EE"/>
            <w:u w:val="single"/>
          </w:rPr>
          <w:t>[6]</w:t>
        </w:r>
      </w:hyperlink>
      <w:r>
        <w:t xml:space="preserve"> (EIN Presswire summary of Market Research Future) - Paragraph 1, Paragraph 4 </w:t>
      </w:r>
      <w:r/>
    </w:p>
    <w:p>
      <w:pPr>
        <w:pStyle w:val="ListBullet"/>
        <w:spacing w:line="240" w:lineRule="auto"/>
        <w:ind w:left="720"/>
      </w:pPr>
      <w:r/>
      <w:hyperlink r:id="rId15">
        <w:r>
          <w:rPr>
            <w:color w:val="0000EE"/>
            <w:u w:val="single"/>
          </w:rPr>
          <w:t>[7]</w:t>
        </w:r>
      </w:hyperlink>
      <w:r>
        <w:t xml:space="preserve"> (Business Research Insights) - Paragraph 4,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https://aviaanaccounting.com/smart-expense-splitting-app-business-feasibility-study-market-research-services-in-usa/</w:t>
        </w:r>
      </w:hyperlink>
      <w:r>
        <w:t xml:space="preserve"> - Please view link - unable to able to access data</w:t>
      </w:r>
      <w:r/>
    </w:p>
    <w:p>
      <w:pPr>
        <w:pStyle w:val="ListNumber"/>
        <w:spacing w:line="240" w:lineRule="auto"/>
        <w:ind w:left="720"/>
      </w:pPr>
      <w:r/>
      <w:hyperlink r:id="rId12">
        <w:r>
          <w:rPr>
            <w:color w:val="0000EE"/>
            <w:u w:val="single"/>
          </w:rPr>
          <w:t>https://www.splitwise.com/</w:t>
        </w:r>
      </w:hyperlink>
      <w:r>
        <w:t xml:space="preserve"> - Splitwise is a widely used expense-splitting application that allows users to create groups with friends to determine what each person owes. All expenses and allocations are added to the app, and Splitwise simplifies the transaction history to determine exactly what payments need to be made to whom to settle outstanding balances. The app was launched in February 2011 and has since become a popular tool for managing shared expenses among friends and roommates.</w:t>
      </w:r>
      <w:r/>
    </w:p>
    <w:p>
      <w:pPr>
        <w:pStyle w:val="ListNumber"/>
        <w:spacing w:line="240" w:lineRule="auto"/>
        <w:ind w:left="720"/>
      </w:pPr>
      <w:r/>
      <w:hyperlink r:id="rId13">
        <w:r>
          <w:rPr>
            <w:color w:val="0000EE"/>
            <w:u w:val="single"/>
          </w:rPr>
          <w:t>https://www.paypal.com/us/home</w:t>
        </w:r>
      </w:hyperlink>
      <w:r>
        <w:t xml:space="preserve"> - PayPal is a global online payment platform that enables users to make payments and money transfers over the internet. It offers various services, including peer-to-peer payments through Venmo, which allows users to split bills and send money to friends and family. PayPal's integration with Venmo has made it a dominant player in the expense-splitting market, providing users with a seamless way to manage shared expenses.</w:t>
      </w:r>
      <w:r/>
    </w:p>
    <w:p>
      <w:pPr>
        <w:pStyle w:val="ListNumber"/>
        <w:spacing w:line="240" w:lineRule="auto"/>
        <w:ind w:left="720"/>
      </w:pPr>
      <w:r/>
      <w:hyperlink r:id="rId14">
        <w:r>
          <w:rPr>
            <w:color w:val="0000EE"/>
            <w:u w:val="single"/>
          </w:rPr>
          <w:t>https://www.cash.app/</w:t>
        </w:r>
      </w:hyperlink>
      <w:r>
        <w:t xml:space="preserve"> - Cash App is a mobile payment service developed by Block, Inc. (formerly Square, Inc.). It allows users to send and receive money, invest in stocks and Bitcoin, and manage their finances. Cash App's bill-splitting feature enables users to divide expenses among friends and family, making it a convenient tool for managing shared costs. Its popularity among younger users is driven by instant settlement, integrated banking features, and social sharing elements.</w:t>
      </w:r>
      <w:r/>
    </w:p>
    <w:p>
      <w:pPr>
        <w:pStyle w:val="ListNumber"/>
        <w:spacing w:line="240" w:lineRule="auto"/>
        <w:ind w:left="720"/>
      </w:pPr>
      <w:r/>
      <w:hyperlink r:id="rId10">
        <w:r>
          <w:rPr>
            <w:color w:val="0000EE"/>
            <w:u w:val="single"/>
          </w:rPr>
          <w:t>https://www.marketresearchfuture.com/reports/bill-splitting-apps-market-22401</w:t>
        </w:r>
      </w:hyperlink>
      <w:r>
        <w:t xml:space="preserve"> - According to a report by Market Research Future, the global bill-splitting apps market is projected to expand from USD 746.72 billion in 2025 to USD 1,140.69 billion by 2034, reflecting a compound annual growth rate (CAGR) of 4.82% during the forecast period. The market's growth is driven by increasing demand for digital financial solutions, evolving consumer behavior, and the surge in peer-to-peer (P2P) payment adoption.</w:t>
      </w:r>
      <w:r/>
    </w:p>
    <w:p>
      <w:pPr>
        <w:pStyle w:val="ListNumber"/>
        <w:spacing w:line="240" w:lineRule="auto"/>
        <w:ind w:left="720"/>
      </w:pPr>
      <w:r/>
      <w:hyperlink r:id="rId11">
        <w:r>
          <w:rPr>
            <w:color w:val="0000EE"/>
            <w:u w:val="single"/>
          </w:rPr>
          <w:t>https://www.einpresswire.com/article-pdf/803392602/bill-splitting-apps-market-expected-to-reach-usd-1-140-69-billion-by-2034-growing-at-a-cagr-of-4-82</w:t>
        </w:r>
      </w:hyperlink>
      <w:r>
        <w:t xml:space="preserve"> - An article published by EIN Presswire highlights a report by Market Research Future, which states that the bill-splitting apps market is expected to expand from USD 746.72 billion in 2025 to USD 1,140.69 billion by 2034, growing at a CAGR of 4.82%. The report emphasizes the increasing demand for digital financial solutions and the surge in peer-to-peer payment adoption as key drivers of this market growth.</w:t>
      </w:r>
      <w:r/>
    </w:p>
    <w:p>
      <w:pPr>
        <w:pStyle w:val="ListNumber"/>
        <w:spacing w:line="240" w:lineRule="auto"/>
        <w:ind w:left="720"/>
      </w:pPr>
      <w:r/>
      <w:hyperlink r:id="rId15">
        <w:r>
          <w:rPr>
            <w:color w:val="0000EE"/>
            <w:u w:val="single"/>
          </w:rPr>
          <w:t>https://www.businessresearchinsights.com/market-reports/bill-splitting-apps-market-100395</w:t>
        </w:r>
      </w:hyperlink>
      <w:r>
        <w:t xml:space="preserve"> - A report by Business Research Insights indicates that the global bill-splitting apps market is projected to reach USD 1.06 billion by 2034, showing strong expansion across user categories. The report highlights rising smartphone penetration as a key market driver, with over 78% of global users accessing digital financial services through mobile devices. It also notes that nearly 29% of startups struggle to sustain application upgrades due to high development and maintenance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viaanaccounting.com/smart-expense-splitting-app-business-feasibility-study-market-research-services-in-usa/" TargetMode="External"/><Relationship Id="rId10" Type="http://schemas.openxmlformats.org/officeDocument/2006/relationships/hyperlink" Target="https://www.marketresearchfuture.com/reports/bill-splitting-apps-market-22401" TargetMode="External"/><Relationship Id="rId11" Type="http://schemas.openxmlformats.org/officeDocument/2006/relationships/hyperlink" Target="https://www.einpresswire.com/article-pdf/803392602/bill-splitting-apps-market-expected-to-reach-usd-1-140-69-billion-by-2034-growing-at-a-cagr-of-4-82" TargetMode="External"/><Relationship Id="rId12" Type="http://schemas.openxmlformats.org/officeDocument/2006/relationships/hyperlink" Target="https://www.splitwise.com/" TargetMode="External"/><Relationship Id="rId13" Type="http://schemas.openxmlformats.org/officeDocument/2006/relationships/hyperlink" Target="https://www.paypal.com/us/home" TargetMode="External"/><Relationship Id="rId14" Type="http://schemas.openxmlformats.org/officeDocument/2006/relationships/hyperlink" Target="https://www.cash.app/" TargetMode="External"/><Relationship Id="rId15" Type="http://schemas.openxmlformats.org/officeDocument/2006/relationships/hyperlink" Target="https://www.businessresearchinsights.com/market-reports/bill-splitting-apps-market-10039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