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and insider ownership dominate Codan's shareholder landscape, shaping governance and market confidence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According to the original report, individual investors account for roughly 45% of Codan Limited’s share register, giving the general public a substantial bloc of influence over the company’s governance and strategic direction. That concentration of retail ownership means movements in sentiment among private investors can materially affect the stock’s performance, and that collective retail voting could sway key decisions at annual and extraordinary meetings. </w:t>
      </w:r>
      <w:hyperlink r:id="rId9">
        <w:r>
          <w:rPr>
            <w:color w:val="0000EE"/>
            <w:u w:val="single"/>
          </w:rPr>
          <w:t>[1]</w:t>
        </w:r>
      </w:hyperlink>
      <w:hyperlink r:id="rId9">
        <w:r>
          <w:rPr>
            <w:color w:val="0000EE"/>
            <w:u w:val="single"/>
          </w:rPr>
          <w:t>[2]</w:t>
        </w:r>
      </w:hyperlink>
      <w:r/>
    </w:p>
    <w:p>
      <w:r/>
      <w:r>
        <w:t xml:space="preserve">The same source notes insiders, defined to include board members and senior executives, hold about 40% of the company, a level of internal ownership that signals strong alignment between management and shareholders but can also complicate external oversight. Industry data from related coverage shows slightly different metrics, with some reports putting insider holdings nearer to 44%, underscoring that exact percentages vary by data provider and timing. These differences matter for investors assessing how tightly control is shared between management, retail holders and institutions. </w:t>
      </w:r>
      <w:hyperlink r:id="rId9">
        <w:r>
          <w:rPr>
            <w:color w:val="0000EE"/>
            <w:u w:val="single"/>
          </w:rPr>
          <w:t>[1]</w:t>
        </w:r>
      </w:hyperlink>
      <w:hyperlink r:id="rId9">
        <w:r>
          <w:rPr>
            <w:color w:val="0000EE"/>
            <w:u w:val="single"/>
          </w:rPr>
          <w:t>[2]</w:t>
        </w:r>
      </w:hyperlink>
      <w:hyperlink r:id="rId10">
        <w:r>
          <w:rPr>
            <w:color w:val="0000EE"/>
            <w:u w:val="single"/>
          </w:rPr>
          <w:t>[3]</w:t>
        </w:r>
      </w:hyperlink>
      <w:r/>
    </w:p>
    <w:p>
      <w:r/>
      <w:r>
        <w:t xml:space="preserve">Institutional participation is meaningful though smaller than retail and insider stakes. The lead analysis and subsequent ownership pages report institutions holding low-double-digit percentages, and listings of major financial owners name firms such as The Vanguard Group among significant holders. Institutional presence brings external validation and liquidity but also the risk of “crowded trades” if multiple funds move in the same direction. </w:t>
      </w:r>
      <w:hyperlink r:id="rId9">
        <w:r>
          <w:rPr>
            <w:color w:val="0000EE"/>
            <w:u w:val="single"/>
          </w:rPr>
          <w:t>[1]</w:t>
        </w:r>
      </w:hyperlink>
      <w:hyperlink r:id="rId11">
        <w:r>
          <w:rPr>
            <w:color w:val="0000EE"/>
            <w:u w:val="single"/>
          </w:rPr>
          <w:t>[4]</w:t>
        </w:r>
      </w:hyperlink>
      <w:hyperlink r:id="rId12">
        <w:r>
          <w:rPr>
            <w:color w:val="0000EE"/>
            <w:u w:val="single"/>
          </w:rPr>
          <w:t>[7]</w:t>
        </w:r>
      </w:hyperlink>
      <w:r/>
    </w:p>
    <w:p>
      <w:r/>
      <w:r>
        <w:t xml:space="preserve">Ownership concentration at the top of the register is notable: the top 12 shareholders are reported to control about 51% of issued capital, and other summaries state the top 10 hold a similar proportion. That clustering means no single entity appears to have absolute control, yet a relatively small number of large holders can still coordinate to influence outcomes. Market commentary linking recent share price movement to this ownership mix suggests the shareholder structure has supported investor confidence. </w:t>
      </w:r>
      <w:hyperlink r:id="rId9">
        <w:r>
          <w:rPr>
            <w:color w:val="0000EE"/>
            <w:u w:val="single"/>
          </w:rPr>
          <w:t>[1]</w:t>
        </w:r>
      </w:hyperlink>
      <w:hyperlink r:id="rId10">
        <w:r>
          <w:rPr>
            <w:color w:val="0000EE"/>
            <w:u w:val="single"/>
          </w:rPr>
          <w:t>[3]</w:t>
        </w:r>
      </w:hyperlink>
      <w:hyperlink r:id="rId13">
        <w:r>
          <w:rPr>
            <w:color w:val="0000EE"/>
            <w:u w:val="single"/>
          </w:rPr>
          <w:t>[5]</w:t>
        </w:r>
      </w:hyperlink>
      <w:hyperlink r:id="rId14">
        <w:r>
          <w:rPr>
            <w:color w:val="0000EE"/>
            <w:u w:val="single"/>
          </w:rPr>
          <w:t>[6]</w:t>
        </w:r>
      </w:hyperlink>
      <w:r/>
    </w:p>
    <w:p>
      <w:r/>
      <w:r>
        <w:t xml:space="preserve">Minor but potentially relevant holdings include private companies (reported at roughly 3% of the register) and stakes held via mutual funds and ETFs. One ownership dataset breaks institutional categories further, mutual funds/ETFs, other institutions and retail, showing divergence in how providers classify holders and how aggregated totals are presented. Investors should read registry breakdowns with an eye to these classification differences. </w:t>
      </w:r>
      <w:hyperlink r:id="rId11">
        <w:r>
          <w:rPr>
            <w:color w:val="0000EE"/>
            <w:u w:val="single"/>
          </w:rPr>
          <w:t>[4]</w:t>
        </w:r>
      </w:hyperlink>
      <w:hyperlink r:id="rId12">
        <w:r>
          <w:rPr>
            <w:color w:val="0000EE"/>
            <w:u w:val="single"/>
          </w:rPr>
          <w:t>[7]</w:t>
        </w:r>
      </w:hyperlink>
      <w:r/>
    </w:p>
    <w:p>
      <w:r/>
      <w:r>
        <w:t xml:space="preserve">Taken together, the picture is of a mid-cap Australian technology and defence supplier where retail investors and insiders hold the dominant shares, institutions provide a supporting role, and the largest dozen or so holders collectively determine a majority of voting power. According to the original report, this structure can both stabilise management’s strategic mandate and concentrate influence, so prospective investors should factor ownership composition into any assessment of governance risk and market momentum. </w:t>
      </w:r>
      <w:hyperlink r:id="rId9">
        <w:r>
          <w:rPr>
            <w:color w:val="0000EE"/>
            <w:u w:val="single"/>
          </w:rPr>
          <w:t>[1]</w:t>
        </w:r>
      </w:hyperlink>
      <w:hyperlink r:id="rId9">
        <w:r>
          <w:rPr>
            <w:color w:val="0000EE"/>
            <w:u w:val="single"/>
          </w:rPr>
          <w:t>[2]</w:t>
        </w:r>
      </w:hyperlink>
      <w:hyperlink r:id="rId14">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(Simply Wall St) - Paragraph 1, Paragraph 2, Paragraph 4, Paragraph 6 </w:t>
      </w:r>
      <w:r/>
    </w:p>
    <w:p>
      <w:pPr>
        <w:pStyle w:val="ListBullet"/>
        <w:spacing w:line="240" w:lineRule="auto"/>
        <w:ind w:left="720"/>
      </w:pPr>
      <w:r/>
      <w:hyperlink r:id="rId9">
        <w:r>
          <w:rPr>
            <w:color w:val="0000EE"/>
            <w:u w:val="single"/>
          </w:rPr>
          <w:t>[2]</w:t>
        </w:r>
      </w:hyperlink>
      <w:r>
        <w:t xml:space="preserve"> (Simply Wall St summary) - Paragraph 1, Paragraph 2 </w:t>
      </w:r>
      <w:r/>
    </w:p>
    <w:p>
      <w:pPr>
        <w:pStyle w:val="ListBullet"/>
        <w:spacing w:line="240" w:lineRule="auto"/>
        <w:ind w:left="720"/>
      </w:pPr>
      <w:r/>
      <w:hyperlink r:id="rId10">
        <w:r>
          <w:rPr>
            <w:color w:val="0000EE"/>
            <w:u w:val="single"/>
          </w:rPr>
          <w:t>[3]</w:t>
        </w:r>
      </w:hyperlink>
      <w:r>
        <w:t xml:space="preserve"> (Kalkine Media) - Paragraph 2, Paragraph 4 </w:t>
      </w:r>
      <w:r/>
    </w:p>
    <w:p>
      <w:pPr>
        <w:pStyle w:val="ListBullet"/>
        <w:spacing w:line="240" w:lineRule="auto"/>
        <w:ind w:left="720"/>
      </w:pPr>
      <w:r/>
      <w:hyperlink r:id="rId11">
        <w:r>
          <w:rPr>
            <w:color w:val="0000EE"/>
            <w:u w:val="single"/>
          </w:rPr>
          <w:t>[4]</w:t>
        </w:r>
      </w:hyperlink>
      <w:r>
        <w:t xml:space="preserve"> (Investing.com) - Paragraph 3, Paragraph 5 </w:t>
      </w:r>
      <w:r/>
    </w:p>
    <w:p>
      <w:pPr>
        <w:pStyle w:val="ListBullet"/>
        <w:spacing w:line="240" w:lineRule="auto"/>
        <w:ind w:left="720"/>
      </w:pPr>
      <w:r/>
      <w:hyperlink r:id="rId13">
        <w:r>
          <w:rPr>
            <w:color w:val="0000EE"/>
            <w:u w:val="single"/>
          </w:rPr>
          <w:t>[5]</w:t>
        </w:r>
      </w:hyperlink>
      <w:r>
        <w:t xml:space="preserve"> (Kalkine Media - rally piece) - Paragraph 4 </w:t>
      </w:r>
      <w:r/>
    </w:p>
    <w:p>
      <w:pPr>
        <w:pStyle w:val="ListBullet"/>
        <w:spacing w:line="240" w:lineRule="auto"/>
        <w:ind w:left="720"/>
      </w:pPr>
      <w:r/>
      <w:hyperlink r:id="rId14">
        <w:r>
          <w:rPr>
            <w:color w:val="0000EE"/>
            <w:u w:val="single"/>
          </w:rPr>
          <w:t>[6]</w:t>
        </w:r>
      </w:hyperlink>
      <w:r>
        <w:t xml:space="preserve"> (PortersFiveForce) - Paragraph 4, Paragraph 6 </w:t>
      </w:r>
      <w:r/>
    </w:p>
    <w:p>
      <w:pPr>
        <w:pStyle w:val="ListBullet"/>
        <w:spacing w:line="240" w:lineRule="auto"/>
        <w:ind w:left="720"/>
      </w:pPr>
      <w:r/>
      <w:hyperlink r:id="rId12">
        <w:r>
          <w:rPr>
            <w:color w:val="0000EE"/>
            <w:u w:val="single"/>
          </w:rPr>
          <w:t>[7]</w:t>
        </w:r>
      </w:hyperlink>
      <w:r>
        <w:t xml:space="preserve"> (Simply Wall St - ownership page) - Paragraph 3,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https://simplywall.st/stocks/au/tech/asx-cda/codan-shares/news/individual-investors-account-for-45-of-codan-limiteds-asxcda</w:t>
        </w:r>
      </w:hyperlink>
      <w:r>
        <w:t xml:space="preserve"> - Please view link - unable to able to access data</w:t>
      </w:r>
      <w:r/>
    </w:p>
    <w:p>
      <w:pPr>
        <w:pStyle w:val="ListNumber"/>
        <w:spacing w:line="240" w:lineRule="auto"/>
        <w:ind w:left="720"/>
      </w:pPr>
      <w:r/>
      <w:hyperlink r:id="rId9">
        <w:r>
          <w:rPr>
            <w:color w:val="0000EE"/>
            <w:u w:val="single"/>
          </w:rPr>
          <w:t>https://simplywall.st/stocks/au/tech/asx-cda/codan-shares/news/individual-investors-account-for-45-of-codan-limiteds-asxcda</w:t>
        </w:r>
      </w:hyperlink>
      <w:r>
        <w:t xml:space="preserve"> - This article discusses the ownership structure of Codan Limited (ASX:CDA), highlighting that individual investors hold 45% of the company's shares, granting them significant influence over management and governance decisions. It also notes that insiders own 40% of the shares, indicating strong internal confidence in the company's prospects. The article further mentions that the top 12 shareholders collectively own 51% of the company, with no single shareholder holding a majority stake.</w:t>
      </w:r>
      <w:r/>
    </w:p>
    <w:p>
      <w:pPr>
        <w:pStyle w:val="ListNumber"/>
        <w:spacing w:line="240" w:lineRule="auto"/>
        <w:ind w:left="720"/>
      </w:pPr>
      <w:r/>
      <w:hyperlink r:id="rId10">
        <w:r>
          <w:rPr>
            <w:color w:val="0000EE"/>
            <w:u w:val="single"/>
          </w:rPr>
          <w:t>https://kalkinemedia.com/au/stocks/technology/understanding-the-shareholder-landscape-of-codan-limited-asxcda</w:t>
        </w:r>
      </w:hyperlink>
      <w:r>
        <w:t xml:space="preserve"> - This article provides an overview of Codan Limited's shareholder composition, stating that individual investors hold 44% of the company's shares, while insiders also own 44%. It highlights the significant influence of individual investors on the company's performance and notes that institutional investors hold a meaningful portion of shares, reflecting broader market credibility. The article also mentions that the top 10 shareholders collectively control about 51% of Codan's ownership.</w:t>
      </w:r>
      <w:r/>
    </w:p>
    <w:p>
      <w:pPr>
        <w:pStyle w:val="ListNumber"/>
        <w:spacing w:line="240" w:lineRule="auto"/>
        <w:ind w:left="720"/>
      </w:pPr>
      <w:r/>
      <w:hyperlink r:id="rId11">
        <w:r>
          <w:rPr>
            <w:color w:val="0000EE"/>
            <w:u w:val="single"/>
          </w:rPr>
          <w:t>https://www.investing.com/equities/codan-ownership</w:t>
        </w:r>
      </w:hyperlink>
      <w:r>
        <w:t xml:space="preserve"> - This page offers detailed information on Codan Limited's ownership structure, indicating that mutual funds and ETFs hold 12.38% of shares, other institutional investors hold 3.47%, and public companies and retail investors hold 84.15%. It lists the top institutional holders, including The Vanguard Group, Inc. and Dimensional Fund Advisors LP, providing insights into the distribution of shares among major financial entities.</w:t>
      </w:r>
      <w:r/>
    </w:p>
    <w:p>
      <w:pPr>
        <w:pStyle w:val="ListNumber"/>
        <w:spacing w:line="240" w:lineRule="auto"/>
        <w:ind w:left="720"/>
      </w:pPr>
      <w:r/>
      <w:hyperlink r:id="rId13">
        <w:r>
          <w:rPr>
            <w:color w:val="0000EE"/>
            <w:u w:val="single"/>
          </w:rPr>
          <w:t>https://kalkinemedia.com/au/stocks/technology/codan-asxcda-rallies-as-shareholder-structure-supports-broad-market-confidence</w:t>
        </w:r>
      </w:hyperlink>
      <w:r>
        <w:t xml:space="preserve"> - This article discusses Codan Limited's recent 6.2% surge in share price, attributing it to supportive ownership dynamics and market sentiment. It highlights that individual investors and insiders each hold 44% of the company's shares, indicating strong internal confidence. The article also notes that institutional investors play a key role, with a notable portion of the share register under their control, reflecting external validation of Codan's governance and fundamentals.</w:t>
      </w:r>
      <w:r/>
    </w:p>
    <w:p>
      <w:pPr>
        <w:pStyle w:val="ListNumber"/>
        <w:spacing w:line="240" w:lineRule="auto"/>
        <w:ind w:left="720"/>
      </w:pPr>
      <w:r/>
      <w:hyperlink r:id="rId14">
        <w:r>
          <w:rPr>
            <w:color w:val="0000EE"/>
            <w:u w:val="single"/>
          </w:rPr>
          <w:t>https://portersfiveforce.com/blogs/owners/codan</w:t>
        </w:r>
      </w:hyperlink>
      <w:r>
        <w:t xml:space="preserve"> - This article examines Codan Limited's ownership structure, noting that no single shareholder has a controlling stake, and the top 20 shareholders commonly hold 40–55% of issued capital. It highlights that individual investors hold approximately 44% of shares, insiders hold a low single-digit stake, and institutional investors, including passive ETFs like Vanguard and BlackRock iShares, are consistently prominent among Codan shareholders, supporting liquidity and index participation.</w:t>
      </w:r>
      <w:r/>
    </w:p>
    <w:p>
      <w:pPr>
        <w:pStyle w:val="ListNumber"/>
        <w:spacing w:line="240" w:lineRule="auto"/>
        <w:ind w:left="720"/>
      </w:pPr>
      <w:r/>
      <w:hyperlink r:id="rId12">
        <w:r>
          <w:rPr>
            <w:color w:val="0000EE"/>
            <w:u w:val="single"/>
          </w:rPr>
          <w:t>https://simplywall.st/stocks/au/tech/asx-cda/codan-shares/ownership</w:t>
        </w:r>
      </w:hyperlink>
      <w:r>
        <w:t xml:space="preserve"> - This page provides insights into Codan Limited's ownership structure, indicating that private companies own 3.06% of shares, institutions own 12.8%, individual insiders own 40.1%, and the general public owns 44.1%. It lists the top shareholders, including P. Wall, David Uhrig, and The Vanguard Group, Inc., offering a comprehensive view of the company's shareholder composition.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mplywall.st/stocks/au/tech/asx-cda/codan-shares/news/individual-investors-account-for-45-of-codan-limiteds-asxcda" TargetMode="External"/><Relationship Id="rId10" Type="http://schemas.openxmlformats.org/officeDocument/2006/relationships/hyperlink" Target="https://kalkinemedia.com/au/stocks/technology/understanding-the-shareholder-landscape-of-codan-limited-asxcda" TargetMode="External"/><Relationship Id="rId11" Type="http://schemas.openxmlformats.org/officeDocument/2006/relationships/hyperlink" Target="https://www.investing.com/equities/codan-ownership" TargetMode="External"/><Relationship Id="rId12" Type="http://schemas.openxmlformats.org/officeDocument/2006/relationships/hyperlink" Target="https://simplywall.st/stocks/au/tech/asx-cda/codan-shares/ownership" TargetMode="External"/><Relationship Id="rId13" Type="http://schemas.openxmlformats.org/officeDocument/2006/relationships/hyperlink" Target="https://kalkinemedia.com/au/stocks/technology/codan-asxcda-rallies-as-shareholder-structure-supports-broad-market-confidence" TargetMode="External"/><Relationship Id="rId14" Type="http://schemas.openxmlformats.org/officeDocument/2006/relationships/hyperlink" Target="https://portersfiveforce.com/blogs/owners/coda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