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infrastructure rally: Nvidia, AMD, and TSMC poised for 2026 gains amid cloud spending boom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investors look past a strong 2023–25 run for artificial intelligence, attention is turning to which companies will convert historic infrastructure spending into durable profits in 2026. According to the original report, The Motley Fool has identified five stocks it regards as leading candidates to benefit from an ongoing AI build‑out: NVIDIA, AMD, Broadcom, Alphabet and Taiwan Semiconductor Manufacturing Company (TSMC). The recommendation rests on expectations that hyperscale cloud capital expenditure , which reached record levels in 2025 and is widely forecast to climb again in 2026 , will continue to underpin demand for chips, custom accelerators and advanced foundry capacity.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NVIDIA and AMD remain the most visible chip designers in the AI narrative. Industry commentary notes NVIDIA’s dominant position as the ecosystem leader, driven by its GPUs and a broad software and hardware stack that helped it become one of the world’s largest companies by market capitalisation. AMD, long a distant rival, has been narrowing the gap: The Motley Fool highlights rising product competitiveness and growing cloud customers seeking cost‑effective alternatives to NVIDIA, while recent reporting shows AMD has secured a multi‑year supply deal with OpenAI that could materially boost its AI GPU shipments beginning in the second half of 2026. That Reuters account also reported OpenAI may take an ownership option in AMD as part of the arrangement, underscoring how strategic customer relationships are reshaping competition.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Broadcom’s route to the AI market differs from the fabless GPU makers: the company designs bespoke accelerators in close partnership with hyperscalers. The Motley Fool emphasises Broadcom’s strategy of tailoring chips to specific workloads to maximise performance and cost efficiency for large cloud customers. Recent corporate guidance corroborates strong AI demand but warns of margin pressure as AI chip sales , which often carry lower gross margins than some legacy products , grow as a share of revenue. That mix effect was flagged in Broadcom’s own forecasts and reported by Reuters. </w:t>
      </w:r>
      <w:hyperlink r:id="rId9">
        <w:r>
          <w:rPr>
            <w:color w:val="0000EE"/>
            <w:u w:val="single"/>
          </w:rPr>
          <w:t>[1]</w:t>
        </w:r>
      </w:hyperlink>
      <w:hyperlink r:id="rId10">
        <w:r>
          <w:rPr>
            <w:color w:val="0000EE"/>
            <w:u w:val="single"/>
          </w:rPr>
          <w:t>[2]</w:t>
        </w:r>
      </w:hyperlink>
      <w:hyperlink r:id="rId13">
        <w:r>
          <w:rPr>
            <w:color w:val="0000EE"/>
            <w:u w:val="single"/>
          </w:rPr>
          <w:t>[6]</w:t>
        </w:r>
      </w:hyperlink>
      <w:r/>
    </w:p>
    <w:p>
      <w:r/>
      <w:r>
        <w:t xml:space="preserve">Alphabet brings a different dynamic as a cloud operator that also builds its own accelerators. Google’s Tensor Processing Units (TPUs) have historically been used internally and rented through Google Cloud, but The Motley Fool and other reporting note that Alphabet is exploring selling its accelerators more broadly , a step that could transform TPUs from an internal cost advantage into a commercial product for other large buyers. If Alphabet were to begin licensing or selling TPUs to rivals, it would mark a notable shift in the competitive landscape for custom AI silicon. </w:t>
      </w:r>
      <w:hyperlink r:id="rId9">
        <w:r>
          <w:rPr>
            <w:color w:val="0000EE"/>
            <w:u w:val="single"/>
          </w:rPr>
          <w:t>[1]</w:t>
        </w:r>
      </w:hyperlink>
      <w:hyperlink r:id="rId10">
        <w:r>
          <w:rPr>
            <w:color w:val="0000EE"/>
            <w:u w:val="single"/>
          </w:rPr>
          <w:t>[2]</w:t>
        </w:r>
      </w:hyperlink>
      <w:r/>
    </w:p>
    <w:p>
      <w:r/>
      <w:r>
        <w:t xml:space="preserve">TSMC sits at the centre of the AI supply chain as the dominant foundry that manufactures the advanced nodes used by AI chip designers. According to the original report, and reinforced by follow‑up analysis, the company is positioned to capture demand regardless of which chip vendor emerges as the ultimate market leader. TSMC’s progress on sub‑3nm technology , including commercial ramps toward 2nm-class processes that promise efficiency gains important for AI workloads , and its scale in high‑end manufacturing are cited as primary reasons investors should consider it a core holding for exposure to AI hardware growth. Market commentary from Taiwan also points to significant domestic investor confidence in the island’s central role in AI production, which has helped lift local equities. </w:t>
      </w:r>
      <w:hyperlink r:id="rId9">
        <w:r>
          <w:rPr>
            <w:color w:val="0000EE"/>
            <w:u w:val="single"/>
          </w:rPr>
          <w:t>[1]</w:t>
        </w:r>
      </w:hyperlink>
      <w:hyperlink r:id="rId14">
        <w:r>
          <w:rPr>
            <w:color w:val="0000EE"/>
            <w:u w:val="single"/>
          </w:rPr>
          <w:t>[3]</w:t>
        </w:r>
      </w:hyperlink>
      <w:hyperlink r:id="rId15">
        <w:r>
          <w:rPr>
            <w:color w:val="0000EE"/>
            <w:u w:val="single"/>
          </w:rPr>
          <w:t>[4]</w:t>
        </w:r>
      </w:hyperlink>
      <w:hyperlink r:id="rId11">
        <w:r>
          <w:rPr>
            <w:color w:val="0000EE"/>
            <w:u w:val="single"/>
          </w:rPr>
          <w:t>[7]</w:t>
        </w:r>
      </w:hyperlink>
      <w:r/>
    </w:p>
    <w:p>
      <w:r/>
      <w:r>
        <w:t xml:space="preserve">For investors, the practical takeaway offered by The Motley Fool and supported by recent reports is a diversified approach across the AI hardware stack: GPU designers, custom‑chip specialists, cloud proprietors and leading foundries each stand to gain as hyperscalers continue to spend heavily on data centre capacity. That stance reflects both the uncertainty over which firms will ultimately dominate and the structural view that as long as AI compute demand rises, the broader supply chain will capture value. Nevertheless, reports from companies and market watchers also caution that rising capital intensity, margin shifts and the timing of end‑market adoption mean outcomes will vary by firm, underscoring the need for disciplined valuation and portfolio positioning. </w:t>
      </w:r>
      <w:hyperlink r:id="rId9">
        <w:r>
          <w:rPr>
            <w:color w:val="0000EE"/>
            <w:u w:val="single"/>
          </w:rPr>
          <w:t>[1]</w:t>
        </w:r>
      </w:hyperlink>
      <w:hyperlink r:id="rId10">
        <w:r>
          <w:rPr>
            <w:color w:val="0000EE"/>
            <w:u w:val="single"/>
          </w:rPr>
          <w:t>[2]</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(Liberty Times Net / original lead article) - Paragraph 1, Paragraph 2, Paragraph 3, Paragraph 4, Paragraph 5, Paragraph 6 </w:t>
      </w:r>
      <w:r/>
    </w:p>
    <w:p>
      <w:pPr>
        <w:pStyle w:val="ListBullet"/>
        <w:spacing w:line="240" w:lineRule="auto"/>
        <w:ind w:left="720"/>
      </w:pPr>
      <w:r/>
      <w:hyperlink r:id="rId10">
        <w:r>
          <w:rPr>
            <w:color w:val="0000EE"/>
            <w:u w:val="single"/>
          </w:rPr>
          <w:t>[2]</w:t>
        </w:r>
      </w:hyperlink>
      <w:r>
        <w:t xml:space="preserve"> (The Motley Fool) - Paragraph 1, Paragraph 2, Paragraph 3, Paragraph 4, Paragraph 6 </w:t>
      </w:r>
      <w:r/>
    </w:p>
    <w:p>
      <w:pPr>
        <w:pStyle w:val="ListBullet"/>
        <w:spacing w:line="240" w:lineRule="auto"/>
        <w:ind w:left="720"/>
      </w:pPr>
      <w:r/>
      <w:hyperlink r:id="rId14">
        <w:r>
          <w:rPr>
            <w:color w:val="0000EE"/>
            <w:u w:val="single"/>
          </w:rPr>
          <w:t>[3]</w:t>
        </w:r>
      </w:hyperlink>
      <w:r>
        <w:t xml:space="preserve"> (The Motley Fool) - Paragraph 5 </w:t>
      </w:r>
      <w:r/>
    </w:p>
    <w:p>
      <w:pPr>
        <w:pStyle w:val="ListBullet"/>
        <w:spacing w:line="240" w:lineRule="auto"/>
        <w:ind w:left="720"/>
      </w:pPr>
      <w:r/>
      <w:hyperlink r:id="rId15">
        <w:r>
          <w:rPr>
            <w:color w:val="0000EE"/>
            <w:u w:val="single"/>
          </w:rPr>
          <w:t>[4]</w:t>
        </w:r>
      </w:hyperlink>
      <w:r>
        <w:t xml:space="preserve"> (The Motley Fool) - Paragraph 5 </w:t>
      </w:r>
      <w:r/>
    </w:p>
    <w:p>
      <w:pPr>
        <w:pStyle w:val="ListBullet"/>
        <w:spacing w:line="240" w:lineRule="auto"/>
        <w:ind w:left="720"/>
      </w:pPr>
      <w:r/>
      <w:hyperlink r:id="rId12">
        <w:r>
          <w:rPr>
            <w:color w:val="0000EE"/>
            <w:u w:val="single"/>
          </w:rPr>
          <w:t>[5]</w:t>
        </w:r>
      </w:hyperlink>
      <w:r>
        <w:t xml:space="preserve"> (Reuters) - Paragraph 2 </w:t>
      </w:r>
      <w:r/>
    </w:p>
    <w:p>
      <w:pPr>
        <w:pStyle w:val="ListBullet"/>
        <w:spacing w:line="240" w:lineRule="auto"/>
        <w:ind w:left="720"/>
      </w:pPr>
      <w:r/>
      <w:hyperlink r:id="rId13">
        <w:r>
          <w:rPr>
            <w:color w:val="0000EE"/>
            <w:u w:val="single"/>
          </w:rPr>
          <w:t>[6]</w:t>
        </w:r>
      </w:hyperlink>
      <w:r>
        <w:t xml:space="preserve"> (Reuters) - Paragraph 3, Paragraph 6 </w:t>
      </w:r>
      <w:r/>
    </w:p>
    <w:p>
      <w:pPr>
        <w:pStyle w:val="ListBullet"/>
        <w:spacing w:line="240" w:lineRule="auto"/>
        <w:ind w:left="720"/>
      </w:pPr>
      <w:r/>
      <w:hyperlink r:id="rId11">
        <w:r>
          <w:rPr>
            <w:color w:val="0000EE"/>
            <w:u w:val="single"/>
          </w:rPr>
          <w:t>[7]</w:t>
        </w:r>
      </w:hyperlink>
      <w:r>
        <w:t xml:space="preserve"> (Reuters) - Paragraph 1,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https://ec.ltn.com.tw/article/breakingnews/5277809</w:t>
        </w:r>
      </w:hyperlink>
      <w:r>
        <w:t xml:space="preserve"> - Please view link - unable to able to access data</w:t>
      </w:r>
      <w:r/>
    </w:p>
    <w:p>
      <w:pPr>
        <w:pStyle w:val="ListNumber"/>
        <w:spacing w:line="240" w:lineRule="auto"/>
        <w:ind w:left="720"/>
      </w:pPr>
      <w:r/>
      <w:hyperlink r:id="rId10">
        <w:r>
          <w:rPr>
            <w:color w:val="0000EE"/>
            <w:u w:val="single"/>
          </w:rPr>
          <w:t>https://www.fool.com/investing/2025/12/13/meet-my-top-5-artificial-intelligence-ai-stocks-fo/</w:t>
        </w:r>
      </w:hyperlink>
      <w:r>
        <w:t xml:space="preserve"> - This article from The Motley Fool highlights five AI stocks poised for strong performance in 2026. It discusses the increasing capital expenditures in AI infrastructure by major companies and the potential benefits for chip designers like NVIDIA and AMD, as well as foundries like Taiwan Semiconductor Manufacturing Company (TSMC). The piece also mentions Broadcom's collaborations with AI hyperscalers to develop custom AI chips and Alphabet's Tensor Processing Units (TPUs). The author suggests that investing in these companies could be a prudent strategy for investors looking to capitalise on the AI boom.</w:t>
      </w:r>
      <w:r/>
    </w:p>
    <w:p>
      <w:pPr>
        <w:pStyle w:val="ListNumber"/>
        <w:spacing w:line="240" w:lineRule="auto"/>
        <w:ind w:left="720"/>
      </w:pPr>
      <w:r/>
      <w:hyperlink r:id="rId14">
        <w:r>
          <w:rPr>
            <w:color w:val="0000EE"/>
            <w:u w:val="single"/>
          </w:rPr>
          <w:t>https://www.fool.com/investing/2025/11/15/meet-my-top-artificial-intelligence-ai-stock-pick/</w:t>
        </w:r>
      </w:hyperlink>
      <w:r>
        <w:t xml:space="preserve"> - In this article, The Motley Fool presents Taiwan Semiconductor Manufacturing Company (TSMC) as a top AI stock pick for 2026. The author argues that TSMC's position as the world's leading chip foundry and its role in manufacturing high-end chips for companies like NVIDIA, AMD, and Broadcom make it a strong candidate for investors. The piece highlights TSMC's advancements in 2nm chip technology, which offers significant improvements in power efficiency, and its impressive growth rates, suggesting that TSMC is well-positioned to benefit from the expanding AI market.</w:t>
      </w:r>
      <w:r/>
    </w:p>
    <w:p>
      <w:pPr>
        <w:pStyle w:val="ListNumber"/>
        <w:spacing w:line="240" w:lineRule="auto"/>
        <w:ind w:left="720"/>
      </w:pPr>
      <w:r/>
      <w:hyperlink r:id="rId15">
        <w:r>
          <w:rPr>
            <w:color w:val="0000EE"/>
            <w:u w:val="single"/>
          </w:rPr>
          <w:t>https://www.fool.com/investing/2025/10/26/2-best-ai-stocks-to-buy-before-2026-wall-street/</w:t>
        </w:r>
      </w:hyperlink>
      <w:r>
        <w:t xml:space="preserve"> - This article from The Motley Fool discusses two AI stocks recommended by Wall Street analysts: Microsoft and Taiwan Semiconductor Manufacturing Company (TSMC). The piece highlights Microsoft's dominance in enterprise software and its position as the second-largest cloud provider, integrating AI across its ecosystem. It also discusses TSMC's role as the world's largest chip manufacturer by revenue and its importance in the AI chip supply chain, suggesting that both companies are well-positioned to benefit from the growing AI market.</w:t>
      </w:r>
      <w:r/>
    </w:p>
    <w:p>
      <w:pPr>
        <w:pStyle w:val="ListNumber"/>
        <w:spacing w:line="240" w:lineRule="auto"/>
        <w:ind w:left="720"/>
      </w:pPr>
      <w:r/>
      <w:hyperlink r:id="rId12">
        <w:r>
          <w:rPr>
            <w:color w:val="0000EE"/>
            <w:u w:val="single"/>
          </w:rPr>
          <w:t>https://www.reuters.com/business/amd-signs-ai-chip-supply-deal-with-openai-gives-it-option-take-10-stake-2025-10-06/</w:t>
        </w:r>
      </w:hyperlink>
      <w:r>
        <w:t xml:space="preserve"> - Reuters reports that AMD has entered a multi-year agreement to supply artificial intelligence chips to OpenAI, with the option for OpenAI to acquire up to 10% of AMD. The deal involves providing hundreds of thousands of GPUs starting from the second half of 2026 and highlights AMD's role as a key competitor to NVIDIA in the AI hardware market. The agreement is expected to generate tens of billions in annual revenue for AMD and underscores the growing demand for AI infrastructure.</w:t>
      </w:r>
      <w:r/>
    </w:p>
    <w:p>
      <w:pPr>
        <w:pStyle w:val="ListNumber"/>
        <w:spacing w:line="240" w:lineRule="auto"/>
        <w:ind w:left="720"/>
      </w:pPr>
      <w:r/>
      <w:hyperlink r:id="rId13">
        <w:r>
          <w:rPr>
            <w:color w:val="0000EE"/>
            <w:u w:val="single"/>
          </w:rPr>
          <w:t>https://www.reuters.com/business/broadcom-forecasts-upbeat-quarterly-revenue-strong-ai-chip-demand-2025-12-11/</w:t>
        </w:r>
      </w:hyperlink>
      <w:r>
        <w:t xml:space="preserve"> - Reuters reports that Broadcom forecasts better-than-expected revenue for the upcoming quarter, driven by strong demand for AI chips. However, the company warns of falling gross margins due to the growing share of revenue from its AI chip segment, which carries lower margins. Broadcom is investing heavily in AI infrastructure and building custom chips for major clients like Google and Meta as an alternative to NVIDIA's GPUs. The article highlights the challenges and opportunities in the AI chip market for Broadcom.</w:t>
      </w:r>
      <w:r/>
    </w:p>
    <w:p>
      <w:pPr>
        <w:pStyle w:val="ListNumber"/>
        <w:spacing w:line="240" w:lineRule="auto"/>
        <w:ind w:left="720"/>
      </w:pPr>
      <w:r/>
      <w:hyperlink r:id="rId11">
        <w:r>
          <w:rPr>
            <w:color w:val="0000EE"/>
            <w:u w:val="single"/>
          </w:rPr>
          <w:t>https://www.reuters.com/world/asia-pacific/ignoring-ai-bubble-fears-investors-bet-nvidia-google-will-fuel-taiwan-stocks-2025-12-12/</w:t>
        </w:r>
      </w:hyperlink>
      <w:r>
        <w:t xml:space="preserve"> - Reuters reports that Taiwan's stock market is on track to reach a record high in 2026, driven by strong domestic investor confidence in the island's central role in the global AI supply chain. Companies like TSMC, Foxconn, and Elite Material are integral to AI hardware production, and the market's rally is supported by solid earnings and reasonable valuations. The article underscores Taiwan's importance in the AI ecosystem and the optimism surrounding its tech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ltn.com.tw/article/breakingnews/5277809" TargetMode="External"/><Relationship Id="rId10" Type="http://schemas.openxmlformats.org/officeDocument/2006/relationships/hyperlink" Target="https://www.fool.com/investing/2025/12/13/meet-my-top-5-artificial-intelligence-ai-stocks-fo/" TargetMode="External"/><Relationship Id="rId11" Type="http://schemas.openxmlformats.org/officeDocument/2006/relationships/hyperlink" Target="https://www.reuters.com/world/asia-pacific/ignoring-ai-bubble-fears-investors-bet-nvidia-google-will-fuel-taiwan-stocks-2025-12-12/" TargetMode="External"/><Relationship Id="rId12" Type="http://schemas.openxmlformats.org/officeDocument/2006/relationships/hyperlink" Target="https://www.reuters.com/business/amd-signs-ai-chip-supply-deal-with-openai-gives-it-option-take-10-stake-2025-10-06/" TargetMode="External"/><Relationship Id="rId13" Type="http://schemas.openxmlformats.org/officeDocument/2006/relationships/hyperlink" Target="https://www.reuters.com/business/broadcom-forecasts-upbeat-quarterly-revenue-strong-ai-chip-demand-2025-12-11/" TargetMode="External"/><Relationship Id="rId14" Type="http://schemas.openxmlformats.org/officeDocument/2006/relationships/hyperlink" Target="https://www.fool.com/investing/2025/11/15/meet-my-top-artificial-intelligence-ai-stock-pick/" TargetMode="External"/><Relationship Id="rId15" Type="http://schemas.openxmlformats.org/officeDocument/2006/relationships/hyperlink" Target="https://www.fool.com/investing/2025/10/26/2-best-ai-stocks-to-buy-before-2026-wall-stre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