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Bitcoin’s institutional ascent accelerates in 2025 amid evolving regulatory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2025 draws to a close, Bitcoin’s transformation from fringe experiment to mainstream macro asset has become markedly visible. The post‑halving period that began with the April 2024 cut to miner rewards has tightened new issuance, exchanges show reduced on‑platform supply, and market participants point to a clearer scarcity narrative that has underpinned price gains and institutional interest. According to the original report, that engineered scarcity, together with steady demand, has been central to Bitcoin’s trajectory over the past 18 months. </w:t>
      </w:r>
      <w:hyperlink r:id="rId9">
        <w:r>
          <w:rPr>
            <w:color w:val="0000EE"/>
            <w:u w:val="single"/>
          </w:rPr>
          <w:t>[1]</w:t>
        </w:r>
      </w:hyperlink>
      <w:r/>
    </w:p>
    <w:p>
      <w:r/>
      <w:r>
        <w:t xml:space="preserve">The technical aftershocks of the 2024 halving have also reshaped the mining sector. Less efficient operators have exited or consolidated, leaving a more professionalised mining industry better able to withstand price swings and network shifts. Industry commentary and market data indicate these structural shifts have reduced short‑term selling pressure from miner outflows and helped normalise liquidity conditions. </w:t>
      </w:r>
      <w:hyperlink r:id="rId9">
        <w:r>
          <w:rPr>
            <w:color w:val="0000EE"/>
            <w:u w:val="single"/>
          </w:rPr>
          <w:t>[1]</w:t>
        </w:r>
      </w:hyperlink>
      <w:r/>
    </w:p>
    <w:p>
      <w:r/>
      <w:r>
        <w:t xml:space="preserve">Institutional adoption has been the dominant theme of 2025. The arrival and widespread use of spot Bitcoin exchange‑traded products has opened regulated, familiar channels for pensions, endowments and wealth managers to access the asset class, catalysing sizeable capital inflows. Market reports and asset‑manager commentary show multi‑asset portfolios holding Bitcoin often outperforming peers without exposure, while banking and custody services have progressively re‑engaged with digital assets. </w:t>
      </w:r>
      <w:hyperlink r:id="rId9">
        <w:r>
          <w:rPr>
            <w:color w:val="0000EE"/>
            <w:u w:val="single"/>
          </w:rPr>
          <w:t>[1]</w:t>
        </w:r>
      </w:hyperlink>
      <w:hyperlink r:id="rId10">
        <w:r>
          <w:rPr>
            <w:color w:val="0000EE"/>
            <w:u w:val="single"/>
          </w:rPr>
          <w:t>[5]</w:t>
        </w:r>
      </w:hyperlink>
      <w:hyperlink r:id="rId11">
        <w:r>
          <w:rPr>
            <w:color w:val="0000EE"/>
            <w:u w:val="single"/>
          </w:rPr>
          <w:t>[3]</w:t>
        </w:r>
      </w:hyperlink>
      <w:r/>
    </w:p>
    <w:p>
      <w:r/>
      <w:r>
        <w:t xml:space="preserve">Traditional financial institutions have moved beyond pilot projects into substantive product and service roll‑outs. Reuters reported this month that major banks and managers have executed blockchain‑based transactions and revived custody offerings , J.P. Morgan executed commercial paper on a public chain and U.S. Bancorp has restarted institutional Bitcoin custody , signalling operational comfort with blockchain settlement and custody at scale. The company announcements and reporting underscore a widening ecosystem of institutional infrastructure. </w:t>
      </w:r>
      <w:hyperlink r:id="rId12">
        <w:r>
          <w:rPr>
            <w:color w:val="0000EE"/>
            <w:u w:val="single"/>
          </w:rPr>
          <w:t>[2]</w:t>
        </w:r>
      </w:hyperlink>
      <w:hyperlink r:id="rId11">
        <w:r>
          <w:rPr>
            <w:color w:val="0000EE"/>
            <w:u w:val="single"/>
          </w:rPr>
          <w:t>[3]</w:t>
        </w:r>
      </w:hyperlink>
      <w:r/>
    </w:p>
    <w:p>
      <w:r/>
      <w:r>
        <w:t xml:space="preserve">Wealth management channels are also opening. Bank of America has said it will permit wealth advisers to recommend crypto exchange‑traded products to clients from January 5, 2026, reflecting regulatory and policy developments that have lowered barriers for advisor‑led allocation. Such steps point to a gradual embedding of Bitcoin exposure within mainstream client portfolios, rather than confinement to specialist trading desks. </w:t>
      </w:r>
      <w:hyperlink r:id="rId13">
        <w:r>
          <w:rPr>
            <w:color w:val="0000EE"/>
            <w:u w:val="single"/>
          </w:rPr>
          <w:t>[4]</w:t>
        </w:r>
      </w:hyperlink>
      <w:r/>
    </w:p>
    <w:p>
      <w:r/>
      <w:r>
        <w:t xml:space="preserve">Despite these gains, adoption is uneven and remains early by several measures. JPMorgan analysis cited by industry press notes institutions currently account for a minority share of ETP holdings, suggesting significant room for growth and that the institutional cycle is still unfolding. Regulatory fragmentation across jurisdictions and ongoing debates over environmental impact continue to complicate a uniform global adoption thesis. </w:t>
      </w:r>
      <w:hyperlink r:id="rId14">
        <w:r>
          <w:rPr>
            <w:color w:val="0000EE"/>
            <w:u w:val="single"/>
          </w:rPr>
          <w:t>[7]</w:t>
        </w:r>
      </w:hyperlink>
      <w:hyperlink r:id="rId9">
        <w:r>
          <w:rPr>
            <w:color w:val="0000EE"/>
            <w:u w:val="single"/>
          </w:rPr>
          <w:t>[1]</w:t>
        </w:r>
      </w:hyperlink>
      <w:r/>
    </w:p>
    <w:p>
      <w:r/>
      <w:r>
        <w:t xml:space="preserve">Price action has mirrored these structural changes: industry reporting shows Bitcoin rising significantly since the halving, a move market commentators attribute to ETF flows and broader institutional demand. At the same time, volatility persists, and commentators stress that hedging and risk management practices among institutional entrants will be important in determining whether Bitcoin’s market behaviour increasingly resembles established macro assets. </w:t>
      </w:r>
      <w:hyperlink r:id="rId15">
        <w:r>
          <w:rPr>
            <w:color w:val="0000EE"/>
            <w:u w:val="single"/>
          </w:rPr>
          <w:t>[6]</w:t>
        </w:r>
      </w:hyperlink>
      <w:hyperlink r:id="rId9">
        <w:r>
          <w:rPr>
            <w:color w:val="0000EE"/>
            <w:u w:val="single"/>
          </w:rPr>
          <w:t>[1]</w:t>
        </w:r>
      </w:hyperlink>
      <w:r/>
    </w:p>
    <w:p>
      <w:r/>
      <w:r>
        <w:t xml:space="preserve">Looking ahead, the immediate questions for 2026 are institutional depth and product integration. If custody, trading, on‑ramping and regulatory clarity continue to improve, Bitcoin is likely to see deeper allocation across traditional portfolios, broader use in treasury strategies and further development of layer‑2 scaling solutions. Government and central bank attitudes will remain pivotal: policy shifts that ease institutional participation could accelerate adoption, while regulatory divergence could slow global harmonisation. The balance of evidence through 2025 points to maturation rather than maturation complete , a phase in which Bitcoin’s economic properties are being stress‑tested in large‑scale capital markets. </w:t>
      </w:r>
      <w:hyperlink r:id="rId9">
        <w:r>
          <w:rPr>
            <w:color w:val="0000EE"/>
            <w:u w:val="single"/>
          </w:rPr>
          <w:t>[1]</w:t>
        </w:r>
      </w:hyperlink>
      <w:hyperlink r:id="rId12">
        <w:r>
          <w:rPr>
            <w:color w:val="0000EE"/>
            <w:u w:val="single"/>
          </w:rPr>
          <w:t>[2]</w:t>
        </w:r>
      </w:hyperlink>
      <w:hyperlink r:id="rId13">
        <w:r>
          <w:rPr>
            <w:color w:val="0000EE"/>
            <w:u w:val="single"/>
          </w:rPr>
          <w:t>[4]</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(TMA Street) - Paragraph 1, Paragraph 2, Paragraph 6, Paragraph 7, Paragraph 8 </w:t>
      </w:r>
      <w:r/>
    </w:p>
    <w:p>
      <w:pPr>
        <w:pStyle w:val="ListBullet"/>
        <w:spacing w:line="240" w:lineRule="auto"/>
        <w:ind w:left="720"/>
      </w:pPr>
      <w:r/>
      <w:hyperlink r:id="rId10">
        <w:r>
          <w:rPr>
            <w:color w:val="0000EE"/>
            <w:u w:val="single"/>
          </w:rPr>
          <w:t>[5]</w:t>
        </w:r>
      </w:hyperlink>
      <w:r>
        <w:t xml:space="preserve"> (CoinDesk / WisdomTree) - Paragraph 3 </w:t>
      </w:r>
      <w:r/>
    </w:p>
    <w:p>
      <w:pPr>
        <w:pStyle w:val="ListBullet"/>
        <w:spacing w:line="240" w:lineRule="auto"/>
        <w:ind w:left="720"/>
      </w:pPr>
      <w:r/>
      <w:hyperlink r:id="rId11">
        <w:r>
          <w:rPr>
            <w:color w:val="0000EE"/>
            <w:u w:val="single"/>
          </w:rPr>
          <w:t>[3]</w:t>
        </w:r>
      </w:hyperlink>
      <w:r>
        <w:t xml:space="preserve"> (Reuters , U.S. Bancorp) - Paragraph 3, Paragraph 4 </w:t>
      </w:r>
      <w:r/>
    </w:p>
    <w:p>
      <w:pPr>
        <w:pStyle w:val="ListBullet"/>
        <w:spacing w:line="240" w:lineRule="auto"/>
        <w:ind w:left="720"/>
      </w:pPr>
      <w:r/>
      <w:hyperlink r:id="rId12">
        <w:r>
          <w:rPr>
            <w:color w:val="0000EE"/>
            <w:u w:val="single"/>
          </w:rPr>
          <w:t>[2]</w:t>
        </w:r>
      </w:hyperlink>
      <w:r>
        <w:t xml:space="preserve"> (Reuters , J.P. Morgan) - Paragraph 4, Paragraph 8 </w:t>
      </w:r>
      <w:r/>
    </w:p>
    <w:p>
      <w:pPr>
        <w:pStyle w:val="ListBullet"/>
        <w:spacing w:line="240" w:lineRule="auto"/>
        <w:ind w:left="720"/>
      </w:pPr>
      <w:r/>
      <w:hyperlink r:id="rId13">
        <w:r>
          <w:rPr>
            <w:color w:val="0000EE"/>
            <w:u w:val="single"/>
          </w:rPr>
          <w:t>[4]</w:t>
        </w:r>
      </w:hyperlink>
      <w:r>
        <w:t xml:space="preserve"> (Reuters , Bank of America) - Paragraph 5, Paragraph 8 </w:t>
      </w:r>
      <w:r/>
    </w:p>
    <w:p>
      <w:pPr>
        <w:pStyle w:val="ListBullet"/>
        <w:spacing w:line="240" w:lineRule="auto"/>
        <w:ind w:left="720"/>
      </w:pPr>
      <w:r/>
      <w:hyperlink r:id="rId14">
        <w:r>
          <w:rPr>
            <w:color w:val="0000EE"/>
            <w:u w:val="single"/>
          </w:rPr>
          <w:t>[7]</w:t>
        </w:r>
      </w:hyperlink>
      <w:r>
        <w:t xml:space="preserve"> (CoinDesk / JPMorgan report) - Paragraph 6, Paragraph 8 </w:t>
      </w:r>
      <w:r/>
    </w:p>
    <w:p>
      <w:pPr>
        <w:pStyle w:val="ListBullet"/>
        <w:spacing w:line="240" w:lineRule="auto"/>
        <w:ind w:left="720"/>
      </w:pPr>
      <w:r/>
      <w:hyperlink r:id="rId15">
        <w:r>
          <w:rPr>
            <w:color w:val="0000EE"/>
            <w:u w:val="single"/>
          </w:rPr>
          <w:t>[6]</w:t>
        </w:r>
      </w:hyperlink>
      <w:r>
        <w:t xml:space="preserve"> (Cointelegraph)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https://tmastreet.com/bitcoins-post-halving-trajectory-institutional-adoption-drives-macro-asset-status-by-dec-2025/</w:t>
        </w:r>
      </w:hyperlink>
      <w:r>
        <w:t xml:space="preserve"> - Please view link - unable to able to access data</w:t>
      </w:r>
      <w:r/>
    </w:p>
    <w:p>
      <w:pPr>
        <w:pStyle w:val="ListNumber"/>
        <w:spacing w:line="240" w:lineRule="auto"/>
        <w:ind w:left="720"/>
      </w:pPr>
      <w:r/>
      <w:hyperlink r:id="rId12">
        <w:r>
          <w:rPr>
            <w:color w:val="0000EE"/>
            <w:u w:val="single"/>
          </w:rPr>
          <w:t>https://www.reuters.com/technology/jp-morgan-harnesses-blockchain-debt-issuance-amid-digital-asset-adoption-boost-2025-12-11/</w:t>
        </w:r>
      </w:hyperlink>
      <w:r>
        <w:t xml:space="preserve"> - J.P. Morgan has issued a $50 million U.S. commercial paper for Galaxy Digital Holdings on the Solana blockchain, marking a significant development in institutional adoption of digital assets. This initiative follows previous blockchain-based issuances and reflects the growing integration of traditional finance with blockchain technology.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https://www.reuters.com/sustainability/boards-policy-regulation/us-bancorp-revives-institutional-bitcoin-custody-service-2025-09-03/</w:t>
        </w:r>
      </w:hyperlink>
      <w:r>
        <w:t xml:space="preserve"> - U.S. Bancorp is resuming its institutional bitcoin custody service after a three-year hiatus, encouraged by the Trump administration's favourable stance on cryptocurrencies. The service now includes support for bitcoin exchange-traded funds (ETFs), reflecting a broader movement by traditional financial institutions into digital asset services. (</w:t>
      </w:r>
      <w:hyperlink r:id="rId18">
        <w:r>
          <w:rPr>
            <w:color w:val="0000EE"/>
            <w:u w:val="single"/>
          </w:rPr>
          <w:t>reuters.com</w:t>
        </w:r>
      </w:hyperlink>
      <w:r>
        <w:t>)</w:t>
      </w:r>
      <w:r/>
    </w:p>
    <w:p>
      <w:pPr>
        <w:pStyle w:val="ListNumber"/>
        <w:spacing w:line="240" w:lineRule="auto"/>
        <w:ind w:left="720"/>
      </w:pPr>
      <w:r/>
      <w:hyperlink r:id="rId13">
        <w:r>
          <w:rPr>
            <w:color w:val="0000EE"/>
            <w:u w:val="single"/>
          </w:rPr>
          <w:t>https://www.reuters.com/business/finance/bank-of-america-expands-crypto-access-wealth-management-clients-2025-12-04/</w:t>
        </w:r>
      </w:hyperlink>
      <w:r>
        <w:t xml:space="preserve"> - Bank of America announced it will allow its wealth management advisors to recommend crypto exchange-traded products (ETPs) to clients starting January 5, 2026. This move marks a significant expansion of crypto access, reflecting growing institutional adoption of cryptocurrencies amid regulatory easing under the U.S. administration. (</w:t>
      </w:r>
      <w:hyperlink r:id="rId19">
        <w:r>
          <w:rPr>
            <w:color w:val="0000EE"/>
            <w:u w:val="single"/>
          </w:rPr>
          <w:t>reuters.com</w:t>
        </w:r>
      </w:hyperlink>
      <w:r>
        <w:t>)</w:t>
      </w:r>
      <w:r/>
    </w:p>
    <w:p>
      <w:pPr>
        <w:pStyle w:val="ListNumber"/>
        <w:spacing w:line="240" w:lineRule="auto"/>
        <w:ind w:left="720"/>
      </w:pPr>
      <w:r/>
      <w:hyperlink r:id="rId10">
        <w:r>
          <w:rPr>
            <w:color w:val="0000EE"/>
            <w:u w:val="single"/>
          </w:rPr>
          <w:t>https://www.coindesk.com/markets/2025/01/21/bitcoin-no-longer-a-niche-investment-as-institutional-adoption-takes-off-wisdom-tree</w:t>
        </w:r>
      </w:hyperlink>
      <w:r>
        <w:t xml:space="preserve"> - WisdomTree reports that Bitcoin is no longer considered a niche investment, with multi-asset portfolios holding bitcoin consistently outperforming those that don't. The firm anticipates continued growth in institutional adoption as more clients seek exposure to the asset class. (</w:t>
      </w:r>
      <w:hyperlink r:id="rId20">
        <w:r>
          <w:rPr>
            <w:color w:val="0000EE"/>
            <w:u w:val="single"/>
          </w:rPr>
          <w:t>coindesk.com</w:t>
        </w:r>
      </w:hyperlink>
      <w:r>
        <w:t>)</w:t>
      </w:r>
      <w:r/>
    </w:p>
    <w:p>
      <w:pPr>
        <w:pStyle w:val="ListNumber"/>
        <w:spacing w:line="240" w:lineRule="auto"/>
        <w:ind w:left="720"/>
      </w:pPr>
      <w:r/>
      <w:hyperlink r:id="rId15">
        <w:r>
          <w:rPr>
            <w:color w:val="0000EE"/>
            <w:u w:val="single"/>
          </w:rPr>
          <w:t>https://cointelegraph.com/news/bitcoin-up-33-halving-analysts-institutional-cycle-acceleration/</w:t>
        </w:r>
      </w:hyperlink>
      <w:r>
        <w:t xml:space="preserve"> - Bitcoin's price has risen over 33% since the 2024 halving, with analysts attributing this surge to increased institutional investment and the approval of Bitcoin ETFs. The halving event, which reduced block rewards, has been accompanied by significant capital inflows from institutional investors. (</w:t>
      </w:r>
      <w:hyperlink r:id="rId21">
        <w:r>
          <w:rPr>
            <w:color w:val="0000EE"/>
            <w:u w:val="single"/>
          </w:rPr>
          <w:t>cointelegraph.com</w:t>
        </w:r>
      </w:hyperlink>
      <w:r>
        <w:t>)</w:t>
      </w:r>
      <w:r/>
    </w:p>
    <w:p>
      <w:pPr>
        <w:pStyle w:val="ListNumber"/>
        <w:spacing w:line="240" w:lineRule="auto"/>
        <w:ind w:left="720"/>
      </w:pPr>
      <w:r/>
      <w:hyperlink r:id="rId14">
        <w:r>
          <w:rPr>
            <w:color w:val="0000EE"/>
            <w:u w:val="single"/>
          </w:rPr>
          <w:t>https://www.coindesk.com/markets/2025/09/10/crypto-institutional-adoption-appears-to-be-in-the-early-phases-jpmorgan</w:t>
        </w:r>
      </w:hyperlink>
      <w:r>
        <w:t xml:space="preserve"> - JPMorgan reports that institutional adoption of cryptocurrencies appears to be in the early phases, with institutions holding about 25% of bitcoin exchange-traded products (ETPs). The bank notes that regulatory clarity has reignited expectations for large-scale crypto adoption. (</w:t>
      </w:r>
      <w:hyperlink r:id="rId22">
        <w:r>
          <w:rPr>
            <w:color w:val="0000EE"/>
            <w:u w:val="single"/>
          </w:rPr>
          <w:t>coindesk.com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mastreet.com/bitcoins-post-halving-trajectory-institutional-adoption-drives-macro-asset-status-by-dec-2025/" TargetMode="External"/><Relationship Id="rId10" Type="http://schemas.openxmlformats.org/officeDocument/2006/relationships/hyperlink" Target="https://www.coindesk.com/markets/2025/01/21/bitcoin-no-longer-a-niche-investment-as-institutional-adoption-takes-off-wisdom-tree" TargetMode="External"/><Relationship Id="rId11" Type="http://schemas.openxmlformats.org/officeDocument/2006/relationships/hyperlink" Target="https://www.reuters.com/sustainability/boards-policy-regulation/us-bancorp-revives-institutional-bitcoin-custody-service-2025-09-03/" TargetMode="External"/><Relationship Id="rId12" Type="http://schemas.openxmlformats.org/officeDocument/2006/relationships/hyperlink" Target="https://www.reuters.com/technology/jp-morgan-harnesses-blockchain-debt-issuance-amid-digital-asset-adoption-boost-2025-12-11/" TargetMode="External"/><Relationship Id="rId13" Type="http://schemas.openxmlformats.org/officeDocument/2006/relationships/hyperlink" Target="https://www.reuters.com/business/finance/bank-of-america-expands-crypto-access-wealth-management-clients-2025-12-04/" TargetMode="External"/><Relationship Id="rId14" Type="http://schemas.openxmlformats.org/officeDocument/2006/relationships/hyperlink" Target="https://www.coindesk.com/markets/2025/09/10/crypto-institutional-adoption-appears-to-be-in-the-early-phases-jpmorgan" TargetMode="External"/><Relationship Id="rId15" Type="http://schemas.openxmlformats.org/officeDocument/2006/relationships/hyperlink" Target="https://cointelegraph.com/news/bitcoin-up-33-halving-analysts-institutional-cycle-acceleration/" TargetMode="External"/><Relationship Id="rId16" Type="http://schemas.openxmlformats.org/officeDocument/2006/relationships/hyperlink" Target="https://www.noahwire.com" TargetMode="External"/><Relationship Id="rId17" Type="http://schemas.openxmlformats.org/officeDocument/2006/relationships/hyperlink" Target="https://www.reuters.com/technology/jp-morgan-harnesses-blockchain-debt-issuance-amid-digital-asset-adoption-boost-2025-12-11/?utm_source=openai" TargetMode="External"/><Relationship Id="rId18" Type="http://schemas.openxmlformats.org/officeDocument/2006/relationships/hyperlink" Target="https://www.reuters.com/sustainability/boards-policy-regulation/us-bancorp-revives-institutional-bitcoin-custody-service-2025-09-03/?utm_source=openai" TargetMode="External"/><Relationship Id="rId19" Type="http://schemas.openxmlformats.org/officeDocument/2006/relationships/hyperlink" Target="https://www.reuters.com/business/finance/bank-america-expands-crypto-access-wealth-management-clients-2025-12-04/?utm_source=openai" TargetMode="External"/><Relationship Id="rId20" Type="http://schemas.openxmlformats.org/officeDocument/2006/relationships/hyperlink" Target="https://www.coindesk.com/markets/2025/01/21/bitcoin-no-longer-a-niche-investment-as-institutional-adoption-takes-off-wisdom-tree?utm_source=openai" TargetMode="External"/><Relationship Id="rId21" Type="http://schemas.openxmlformats.org/officeDocument/2006/relationships/hyperlink" Target="https://cointelegraph.com/news/bitcoin-up-33-halving-analysts-institutional-cycle-acceleration/?utm_source=openai" TargetMode="External"/><Relationship Id="rId22" Type="http://schemas.openxmlformats.org/officeDocument/2006/relationships/hyperlink" Target="https://www.coindesk.com/markets/2025/09/10/crypto-institutional-adoption-appears-to-be-in-the-early-phases-jpmorg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