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BlackRock drives private markets integration with strategic acquisitions and product innovation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Good morning from Washington, D.C. , and welcome to a market moment in which the long-separated worlds of public and private investing are visibly colliding. According to the original report and the lead commentary in Alt Goes Mainstream, Bloomberg’s decision to host the newsletter on the Terminal is more than a distribution milestone; it is emblematic of a broader structural shift that is knitting private markets into the fabric of public-market infrastructure and decision-making. </w:t>
      </w:r>
      <w:hyperlink r:id="rId9">
        <w:r>
          <w:rPr>
            <w:color w:val="0000EE"/>
            <w:u w:val="single"/>
          </w:rPr>
          <w:t>[1]</w:t>
        </w:r>
      </w:hyperlink>
      <w:r/>
    </w:p>
    <w:p>
      <w:r/>
      <w:r>
        <w:t xml:space="preserve">The shift is being driven by an industry-wide reappraisal of business models. The lead article notes that “Public is going private. Private is going public,” a shorthand for the acquisitions, partnerships and product redesigns that have reconfigured asset managers’ ambitions. Firms that were historically public-market specialists are buying or building private capabilities; firms born in private markets are increasingly embracing public listings and scaled distribution. This cross-pollination is changing how managers think about scale, fees and client access. </w:t>
      </w:r>
      <w:hyperlink r:id="rId9">
        <w:r>
          <w:rPr>
            <w:color w:val="0000EE"/>
            <w:u w:val="single"/>
          </w:rPr>
          <w:t>[1]</w:t>
        </w:r>
      </w:hyperlink>
      <w:r/>
    </w:p>
    <w:p>
      <w:r/>
      <w:r>
        <w:t xml:space="preserve">BlackRock is the clearest, most public example of that transformation. The lead argued , and company announcements confirm , that BlackRock has materially expanded its private markets footprint through a sequence of transactions and integrations. The acquisition of Global Infrastructure Partners in October 2024 created a combined infrastructure platform managing roughly $170 billion of AUM, expanding BlackRock’s private-markets scale and adding significant run-rate revenue. In March 2025 BlackRock completed the purchase of Preqin, bringing a leading private-markets data provider into the same operating span as its investment and technology offerings. And its announced acquisition of HPS Investment Partners, first disclosed in December 2024 and structured as an all-equity transaction, is designed to deepen BlackRock’s private credit capabilities and is expected to combine to create a sizeable private credit franchise once regulatory approvals are cleared. The company’s moves reflect a strategic aim to serve whole portfolios across public and private assets rather than to remain a traditional public-market asset manager. </w:t>
      </w:r>
      <w:hyperlink r:id="rId9">
        <w:r>
          <w:rPr>
            <w:color w:val="0000EE"/>
            <w:u w:val="single"/>
          </w:rPr>
          <w:t>[1]</w:t>
        </w:r>
      </w:hyperlink>
      <w:hyperlink r:id="rId10">
        <w:r>
          <w:rPr>
            <w:color w:val="0000EE"/>
            <w:u w:val="single"/>
          </w:rPr>
          <w:t>[2]</w:t>
        </w:r>
      </w:hyperlink>
      <w:hyperlink r:id="rId11">
        <w:r>
          <w:rPr>
            <w:color w:val="0000EE"/>
            <w:u w:val="single"/>
          </w:rPr>
          <w:t>[3]</w:t>
        </w:r>
      </w:hyperlink>
      <w:hyperlink r:id="rId12">
        <w:r>
          <w:rPr>
            <w:color w:val="0000EE"/>
            <w:u w:val="single"/>
          </w:rPr>
          <w:t>[4]</w:t>
        </w:r>
      </w:hyperlink>
      <w:hyperlink r:id="rId13">
        <w:r>
          <w:rPr>
            <w:color w:val="0000EE"/>
            <w:u w:val="single"/>
          </w:rPr>
          <w:t>[6]</w:t>
        </w:r>
      </w:hyperlink>
      <w:r/>
    </w:p>
    <w:p>
      <w:r/>
      <w:r>
        <w:t xml:space="preserve">Industry disclosures and reporting underscore the business logic behind these deals. According to BlackRock’s corporate statements, the GIP transaction consolidated over $100 billion of private markets AUM and materially increased run-rate revenue. The Preqin acquisition, BlackRock said in its announcement, strengthens data and technology capabilities precisely because private markets have become the fastest-growing segment of global investing; Preqin data projects alternative assets could reach $30 trillion by the end of the decade. The HPS purchase, described in regulatory filings and financial press reporting, is structured as an equity issuance to HPS stakeholders and is intended to create a combined private credit offering with scale and insurance-client focus. </w:t>
      </w:r>
      <w:hyperlink r:id="rId10">
        <w:r>
          <w:rPr>
            <w:color w:val="0000EE"/>
            <w:u w:val="single"/>
          </w:rPr>
          <w:t>[2]</w:t>
        </w:r>
      </w:hyperlink>
      <w:hyperlink r:id="rId11">
        <w:r>
          <w:rPr>
            <w:color w:val="0000EE"/>
            <w:u w:val="single"/>
          </w:rPr>
          <w:t>[3]</w:t>
        </w:r>
      </w:hyperlink>
      <w:hyperlink r:id="rId12">
        <w:r>
          <w:rPr>
            <w:color w:val="0000EE"/>
            <w:u w:val="single"/>
          </w:rPr>
          <w:t>[4]</w:t>
        </w:r>
      </w:hyperlink>
      <w:hyperlink r:id="rId13">
        <w:r>
          <w:rPr>
            <w:color w:val="0000EE"/>
            <w:u w:val="single"/>
          </w:rPr>
          <w:t>[6]</w:t>
        </w:r>
      </w:hyperlink>
      <w:r/>
    </w:p>
    <w:p>
      <w:r/>
      <w:r>
        <w:t xml:space="preserve">Market structure and product innovation are following suit. The original commentary highlights hybrid products, evergreen funds and model portfolios as tangible responses to the convergence: vehicles that can blend listed and unlisted exposures and that rely on improved data, standardised reporting and operational plumbing. Industry index providers have already launched composite benchmarks that incorporate private allocations, while platform and servicer firms are building lifecycle infrastructure for private assets , from fundraising through to reporting and secondary trading. These developments make it materially easier for wealth channels and retail-adjacent platforms to include private exposure in multi-asset solutions. </w:t>
      </w:r>
      <w:hyperlink r:id="rId9">
        <w:r>
          <w:rPr>
            <w:color w:val="0000EE"/>
            <w:u w:val="single"/>
          </w:rPr>
          <w:t>[1]</w:t>
        </w:r>
      </w:hyperlink>
      <w:r/>
    </w:p>
    <w:p>
      <w:r/>
      <w:r>
        <w:t xml:space="preserve">That reengineering of product and operations rests on data and workflow standardisation. The lead article notes BlackRock’s Preqin acquisition as particularly illustrative: better private-markets data enables more rapid reporting, benchmark construction and, ultimately, indexation. The argument is straightforward , without faster, harmonised data and interoperable administration, model portfolios and registered evergreen funds cannot scale to serve broad client bases. The industry’s investments in technology and third-party infrastructure mirror earlier electronic transformations in public equities and fixed income. </w:t>
      </w:r>
      <w:hyperlink r:id="rId9">
        <w:r>
          <w:rPr>
            <w:color w:val="0000EE"/>
            <w:u w:val="single"/>
          </w:rPr>
          <w:t>[1]</w:t>
        </w:r>
      </w:hyperlink>
      <w:hyperlink r:id="rId11">
        <w:r>
          <w:rPr>
            <w:color w:val="0000EE"/>
            <w:u w:val="single"/>
          </w:rPr>
          <w:t>[3]</w:t>
        </w:r>
      </w:hyperlink>
      <w:r/>
    </w:p>
    <w:p>
      <w:r/>
      <w:r>
        <w:t xml:space="preserve">The portfolio consequences are already being debated inside asset management. The lead recounts Apollo’s argument that the distinction between “safe” and “risky” may be less about public versus private and more about liquidity and underlying credit or equity quality; private investment-grade credit, Apollo suggests, can carry similar risk characteristics to public investment-grade credit when analysed on fundamentals rather than liquidity. That view is shaping how allocators think about constructing resilient portfolios in a landscape where companies stay private longer and secondaries markets are growing. </w:t>
      </w:r>
      <w:hyperlink r:id="rId9">
        <w:r>
          <w:rPr>
            <w:color w:val="0000EE"/>
            <w:u w:val="single"/>
          </w:rPr>
          <w:t>[1]</w:t>
        </w:r>
      </w:hyperlink>
      <w:r/>
    </w:p>
    <w:p>
      <w:r/>
      <w:r>
        <w:t xml:space="preserve">The cumulative effect is a redistribution of where value and control sit in the investment ecosystem. Public-market titans are using M&amp;A and partnerships to assemble capabilities traditionally housed in specialist private managers; at the same time, private firms are accessing public capital and scale through listings and other routes. Reuters reporting and market data also indicate that BlackRock’s public-market franchises remain strong even as the firm expands into private markets, with record-level ETF inflows furthering its distribution strength. Investors and advisers now face a choice not simply about asset allocation between stocks and private equity, but about how to integrate exposures across a spectrum where the boundaries between public and private, liquid and illiquid, are becoming more porous. </w:t>
      </w:r>
      <w:hyperlink r:id="rId14">
        <w:r>
          <w:rPr>
            <w:color w:val="0000EE"/>
            <w:u w:val="single"/>
          </w:rPr>
          <w:t>[5]</w:t>
        </w:r>
      </w:hyperlink>
      <w:hyperlink r:id="rId9">
        <w:r>
          <w:rPr>
            <w:color w:val="0000EE"/>
            <w:u w:val="single"/>
          </w:rPr>
          <w:t>[1]</w:t>
        </w:r>
      </w:hyperlink>
      <w:r/>
    </w:p>
    <w:p>
      <w:r/>
      <w:r>
        <w:t xml:space="preserve">If the convergence is at an early stage, it is also accelerating. Corporate announcements, industry research and the lead commentary all point to more product launches, continued M&amp;A and deeper partnerships between asset managers, wealth platforms and technology providers. For allocators and advisers, the practical implication will be more choices , and a demand for clearer data, better standardisation and stronger operational pipelines , if private-market exposures are to be meaningfully included in mainstream portfolios. </w:t>
      </w:r>
      <w:hyperlink r:id="rId9">
        <w:r>
          <w:rPr>
            <w:color w:val="0000EE"/>
            <w:u w:val="single"/>
          </w:rPr>
          <w:t>[1]</w:t>
        </w:r>
      </w:hyperlink>
      <w:hyperlink r:id="rId10">
        <w:r>
          <w:rPr>
            <w:color w:val="0000EE"/>
            <w:u w:val="single"/>
          </w:rPr>
          <w:t>[2]</w:t>
        </w:r>
      </w:hyperlink>
      <w:hyperlink r:id="rId11">
        <w:r>
          <w:rPr>
            <w:color w:val="0000EE"/>
            <w:u w:val="single"/>
          </w:rPr>
          <w:t>[3]</w:t>
        </w:r>
      </w:hyperlink>
      <w:hyperlink r:id="rId12">
        <w:r>
          <w:rPr>
            <w:color w:val="0000EE"/>
            <w:u w:val="single"/>
          </w:rPr>
          <w:t>[4]</w:t>
        </w:r>
      </w:hyperlink>
      <w:hyperlink r:id="rId13">
        <w:r>
          <w:rPr>
            <w:color w:val="0000EE"/>
            <w:u w:val="single"/>
          </w:rPr>
          <w:t>[6]</w:t>
        </w:r>
      </w:hyperlink>
      <w:hyperlink r:id="rId15">
        <w:r>
          <w:rPr>
            <w:color w:val="0000EE"/>
            <w:u w:val="single"/>
          </w:rPr>
          <w:t>[7]</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(Alt Goes Mainstream) - Paragraph 1, Paragraph 2, Paragraph 3, Paragraph 5, Paragraph 6, Paragraph 7, Paragraph 8, Paragraph 9 </w:t>
      </w:r>
      <w:r/>
    </w:p>
    <w:p>
      <w:pPr>
        <w:pStyle w:val="ListBullet"/>
        <w:spacing w:line="240" w:lineRule="auto"/>
        <w:ind w:left="720"/>
      </w:pPr>
      <w:r/>
      <w:hyperlink r:id="rId10">
        <w:r>
          <w:rPr>
            <w:color w:val="0000EE"/>
            <w:u w:val="single"/>
          </w:rPr>
          <w:t>[2]</w:t>
        </w:r>
      </w:hyperlink>
      <w:r>
        <w:t xml:space="preserve"> (BlackRock press release on GIP) - Paragraph 3, Paragraph 4 </w:t>
      </w:r>
      <w:r/>
    </w:p>
    <w:p>
      <w:pPr>
        <w:pStyle w:val="ListBullet"/>
        <w:spacing w:line="240" w:lineRule="auto"/>
        <w:ind w:left="720"/>
      </w:pPr>
      <w:r/>
      <w:hyperlink r:id="rId11">
        <w:r>
          <w:rPr>
            <w:color w:val="0000EE"/>
            <w:u w:val="single"/>
          </w:rPr>
          <w:t>[3]</w:t>
        </w:r>
      </w:hyperlink>
      <w:r>
        <w:t xml:space="preserve"> (BlackRock press release on Preqin) - Paragraph 3, Paragraph 5, Paragraph 8 </w:t>
      </w:r>
      <w:r/>
    </w:p>
    <w:p>
      <w:pPr>
        <w:pStyle w:val="ListBullet"/>
        <w:spacing w:line="240" w:lineRule="auto"/>
        <w:ind w:left="720"/>
      </w:pPr>
      <w:r/>
      <w:hyperlink r:id="rId12">
        <w:r>
          <w:rPr>
            <w:color w:val="0000EE"/>
            <w:u w:val="single"/>
          </w:rPr>
          <w:t>[4]</w:t>
        </w:r>
      </w:hyperlink>
      <w:r>
        <w:t xml:space="preserve"> (BlackRock announcement to acquire HPS) - Paragraph 3, Paragraph 4, Paragraph 8 </w:t>
      </w:r>
      <w:r/>
    </w:p>
    <w:p>
      <w:pPr>
        <w:pStyle w:val="ListBullet"/>
        <w:spacing w:line="240" w:lineRule="auto"/>
        <w:ind w:left="720"/>
      </w:pPr>
      <w:r/>
      <w:hyperlink r:id="rId13">
        <w:r>
          <w:rPr>
            <w:color w:val="0000EE"/>
            <w:u w:val="single"/>
          </w:rPr>
          <w:t>[6]</w:t>
        </w:r>
      </w:hyperlink>
      <w:r>
        <w:t xml:space="preserve"> (Nasdaq report on HPS deal structure) - Paragraph 4, Paragraph 8 </w:t>
      </w:r>
      <w:r/>
    </w:p>
    <w:p>
      <w:pPr>
        <w:pStyle w:val="ListBullet"/>
        <w:spacing w:line="240" w:lineRule="auto"/>
        <w:ind w:left="720"/>
      </w:pPr>
      <w:r/>
      <w:hyperlink r:id="rId14">
        <w:r>
          <w:rPr>
            <w:color w:val="0000EE"/>
            <w:u w:val="single"/>
          </w:rPr>
          <w:t>[5]</w:t>
        </w:r>
      </w:hyperlink>
      <w:r>
        <w:t xml:space="preserve"> (Reuters on BlackRock inflows) - Paragraph 8 </w:t>
      </w:r>
      <w:r/>
    </w:p>
    <w:p>
      <w:pPr>
        <w:pStyle w:val="ListBullet"/>
        <w:spacing w:line="240" w:lineRule="auto"/>
        <w:ind w:left="720"/>
      </w:pPr>
      <w:r/>
      <w:hyperlink r:id="rId15">
        <w:r>
          <w:rPr>
            <w:color w:val="0000EE"/>
            <w:u w:val="single"/>
          </w:rPr>
          <w:t>[7]</w:t>
        </w:r>
      </w:hyperlink>
      <w:r>
        <w:t xml:space="preserve"> (Ainvest reporting on later BlackRock deals) - Paragraph 8</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https://altgoesmainstream.substack.com/p/the-convergence-of-public-and-private</w:t>
        </w:r>
      </w:hyperlink>
      <w:r>
        <w:t xml:space="preserve"> - Please view link - unable to able to access data</w:t>
      </w:r>
      <w:r/>
    </w:p>
    <w:p>
      <w:pPr>
        <w:pStyle w:val="ListNumber"/>
        <w:spacing w:line="240" w:lineRule="auto"/>
        <w:ind w:left="720"/>
      </w:pPr>
      <w:r/>
      <w:hyperlink r:id="rId10">
        <w:r>
          <w:rPr>
            <w:color w:val="0000EE"/>
            <w:u w:val="single"/>
          </w:rPr>
          <w:t>https://www.blackrock.com/corporate/newsroom/press-releases/press-releases-details/2024/BlackRock-Completes-Acquisition-of-Global-Infrastructure-Partners/default.aspx</w:t>
        </w:r>
      </w:hyperlink>
      <w:r>
        <w:t xml:space="preserve"> - In October 2024, BlackRock completed the acquisition of Global Infrastructure Partners (GIP), creating an industry leader in infrastructure across equity, debt, and solutions. The combined platform, branded Global Infrastructure Partners (GIP), a part of BlackRock, manages approximately $170 billion in assets under management (AUM) and operates a diversified portfolio of over 300 active investments in more than 100 countries. This acquisition consolidates over $100 billion of private markets AUM, boosting private markets AUM by approximately 40% and expanding run rate revenues by approximately $750 million.</w:t>
      </w:r>
      <w:r/>
    </w:p>
    <w:p>
      <w:pPr>
        <w:pStyle w:val="ListNumber"/>
        <w:spacing w:line="240" w:lineRule="auto"/>
        <w:ind w:left="720"/>
      </w:pPr>
      <w:r/>
      <w:hyperlink r:id="rId11">
        <w:r>
          <w:rPr>
            <w:color w:val="0000EE"/>
            <w:u w:val="single"/>
          </w:rPr>
          <w:t>https://www.blackrock.com/corporate/newsroom/press-releases/press-releases-details/2025/BlackRock-Establishes-Preeminent-Private-Markets-Technology-and-Data-Provider-with-Close-of-Preqin-Acquisition/default.aspx</w:t>
        </w:r>
      </w:hyperlink>
      <w:r>
        <w:t xml:space="preserve"> - In March 2025, BlackRock completed the acquisition of Preqin, a leading independent provider of private markets data. This strategic transaction strengthens BlackRock’s ability to serve clients’ whole portfolios by combining investment, technology, and data solutions in one platform. Private markets are the fastest-growing segment of global investing, with alternative assets projected to reach $30 trillion by the end of the decade, according to Preqin data. The acquisition significantly enhances BlackRock’s investment technology capabilities, marking a strategic expansion into the rapidly growing private markets data segment.</w:t>
      </w:r>
      <w:r/>
    </w:p>
    <w:p>
      <w:pPr>
        <w:pStyle w:val="ListNumber"/>
        <w:spacing w:line="240" w:lineRule="auto"/>
        <w:ind w:left="720"/>
      </w:pPr>
      <w:r/>
      <w:hyperlink r:id="rId12">
        <w:r>
          <w:rPr>
            <w:color w:val="0000EE"/>
            <w:u w:val="single"/>
          </w:rPr>
          <w:t>https://www.blackrock.com/corporate/newsroom/press-releases/press-releases-details/2024/BlackRock-to-Acquire-HPS-Investment-Partners/default.aspx</w:t>
        </w:r>
      </w:hyperlink>
      <w:r>
        <w:t xml:space="preserve"> - In December 2024, BlackRock announced its agreement to acquire HPS Investment Partners, a leading independent provider of private credit for insurance clients. This acquisition is expected to deepen BlackRock’s capabilities for insurance clients, positioning the firm as a full-service, fiduciary provider of public-private asset management and technology solutions. The transaction is expected to close in mid-2025, pending regulatory approvals, and will create a combined private credit franchise managing $220 billion in client assets.</w:t>
      </w:r>
      <w:r/>
    </w:p>
    <w:p>
      <w:pPr>
        <w:pStyle w:val="ListNumber"/>
        <w:spacing w:line="240" w:lineRule="auto"/>
        <w:ind w:left="720"/>
      </w:pPr>
      <w:r/>
      <w:hyperlink r:id="rId14">
        <w:r>
          <w:rPr>
            <w:color w:val="0000EE"/>
            <w:u w:val="single"/>
          </w:rPr>
          <w:t>https://www.reuters.com/business/blackrock-track-record-annual-flows-into-ishares-says-cfo-2025-12-09/</w:t>
        </w:r>
      </w:hyperlink>
      <w:r>
        <w:t xml:space="preserve"> - As of December 5, 2025, BlackRock is on track to achieve record annual inflows into its iShares exchange-traded funds (ETFs), totaling approximately $450 billion for the year, with $100 billion coming in during the fourth quarter alone. This milestone marks one of the company's strongest years for organic base-fee growth. Currently overseeing over $13 trillion in assets, BlackRock has also expanded its reach into private markets through recent acquisitions, supporting its goal of becoming a comprehensive investment platform for both public and private assets.</w:t>
      </w:r>
      <w:r/>
    </w:p>
    <w:p>
      <w:pPr>
        <w:pStyle w:val="ListNumber"/>
        <w:spacing w:line="240" w:lineRule="auto"/>
        <w:ind w:left="720"/>
      </w:pPr>
      <w:r/>
      <w:hyperlink r:id="rId13">
        <w:r>
          <w:rPr>
            <w:color w:val="0000EE"/>
            <w:u w:val="single"/>
          </w:rPr>
          <w:t>https://www.nasdaq.com/articles/blks-buyout-of-hps-investment-leap-into-the-private-credit-market</w:t>
        </w:r>
      </w:hyperlink>
      <w:r>
        <w:t xml:space="preserve"> - BlackRock's acquisition of HPS Investment Partners, announced in December 2024, is a significant move into the private credit market. The deal involves BlackRock paying $12 billion entirely in equity, issuing 12.1 million SubCo Units through a wholly-owned subsidiary. These units are exchangeable on a one-to-one basis for BlackRock common stock and carry equivalent dividend rights. The transaction is expected to close in mid-2025, pending regulatory approvals, and will create a combined private credit franchise managing $220 billion in client assets.</w:t>
      </w:r>
      <w:r/>
    </w:p>
    <w:p>
      <w:pPr>
        <w:pStyle w:val="ListNumber"/>
        <w:spacing w:line="240" w:lineRule="auto"/>
        <w:ind w:left="720"/>
      </w:pPr>
      <w:r/>
      <w:hyperlink r:id="rId15">
        <w:r>
          <w:rPr>
            <w:color w:val="0000EE"/>
            <w:u w:val="single"/>
          </w:rPr>
          <w:t>https://www.ainvest.com/news/blackrock-private-markets-pivot-strategic-shift-uncertain-times-2507/</w:t>
        </w:r>
      </w:hyperlink>
      <w:r>
        <w:t xml:space="preserve"> - BlackRock has been deepening its presence in private markets through opportunistic acquisitions, strategic collaborations, and product diversification. In October 2025, it acquired Elmtree Funds, a net-lease real estate investment firm with $7.3 billion in assets, as part of its long-term goal to raise $400 billion for private markets by 2030. This acquisition builds on the earlier purchase of HPS Investment Partners in July 2025, reinforcing BlackRock's push into private credit and real estate assets. Over the past year, BlackRock has invested more than $28 billion to strengthen its position in the high-growth private markets space.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ltgoesmainstream.substack.com/p/the-convergence-of-public-and-private" TargetMode="External"/><Relationship Id="rId10" Type="http://schemas.openxmlformats.org/officeDocument/2006/relationships/hyperlink" Target="https://www.blackrock.com/corporate/newsroom/press-releases/press-releases-details/2024/BlackRock-Completes-Acquisition-of-Global-Infrastructure-Partners/default.aspx" TargetMode="External"/><Relationship Id="rId11" Type="http://schemas.openxmlformats.org/officeDocument/2006/relationships/hyperlink" Target="https://www.blackrock.com/corporate/newsroom/press-releases/press-releases-details/2025/BlackRock-Establishes-Preeminent-Private-Markets-Technology-and-Data-Provider-with-Close-of-Preqin-Acquisition/default.aspx" TargetMode="External"/><Relationship Id="rId12" Type="http://schemas.openxmlformats.org/officeDocument/2006/relationships/hyperlink" Target="https://www.blackrock.com/corporate/newsroom/press-releases/press-releases-details/2024/BlackRock-to-Acquire-HPS-Investment-Partners/default.aspx" TargetMode="External"/><Relationship Id="rId13" Type="http://schemas.openxmlformats.org/officeDocument/2006/relationships/hyperlink" Target="https://www.nasdaq.com/articles/blks-buyout-of-hps-investment-leap-into-the-private-credit-market" TargetMode="External"/><Relationship Id="rId14" Type="http://schemas.openxmlformats.org/officeDocument/2006/relationships/hyperlink" Target="https://www.reuters.com/business/blackrock-track-record-annual-flows-into-ishares-says-cfo-2025-12-09/" TargetMode="External"/><Relationship Id="rId15" Type="http://schemas.openxmlformats.org/officeDocument/2006/relationships/hyperlink" Target="https://www.ainvest.com/news/blackrock-private-markets-pivot-strategic-shift-uncertain-times-2507/"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