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Industry pushes for interpretability as reinforcement learning gains traction in finance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recent Quant Letter roundup highlights a flurry of academic work arguing that reinforcement learning and related machine‑learning techniques are maturing into practical tools for financial decision‑making, but that success increasingly depends on simpler, interpretable designs and careful implementation rather than ever more complex algorithms. According to the original report, the week’s arXiv releases range from studies that apply RL to mean‑variance portfolio problems with jumps to papers unifying interest‑rate and option pricing models, illustrating both applied and theoretical progress across quant finance. </w:t>
      </w:r>
      <w:hyperlink r:id="rId9">
        <w:r>
          <w:rPr>
            <w:color w:val="0000EE"/>
            <w:u w:val="single"/>
          </w:rPr>
          <w:t>[1]</w:t>
        </w:r>
      </w:hyperlink>
      <w:hyperlink r:id="rId10">
        <w:r>
          <w:rPr>
            <w:color w:val="0000EE"/>
            <w:u w:val="single"/>
          </w:rPr>
          <w:t>[2]</w:t>
        </w:r>
      </w:hyperlink>
      <w:r/>
    </w:p>
    <w:p>
      <w:r/>
      <w:r>
        <w:t xml:space="preserve">A systematic review of 167 articles published between 2017 and 2025 underpins that shift: industry data shows that implementation quality, domain expertise and deployment considerations often outweigh raw algorithmic sophistication when RL is applied to market making, portfolio optimisation and algorithmic trading. The review emphasises explainability, robustness to non‑stationary markets and regulatory feasibility as the central obstacles to real‑world adoption. According to the study, interpretable RL architectures and unified evaluation frameworks are needed to translate academic results into production systems. </w:t>
      </w:r>
      <w:hyperlink r:id="rId10">
        <w:r>
          <w:rPr>
            <w:color w:val="0000EE"/>
            <w:u w:val="single"/>
          </w:rPr>
          <w:t>[2]</w:t>
        </w:r>
      </w:hyperlink>
      <w:r/>
    </w:p>
    <w:p>
      <w:r/>
      <w:r>
        <w:t xml:space="preserve">Recent methodological work complements that practical focus. One paper proposes embedding imitation learning, where a trend‑labelling algorithm supplies “expert” signals, into model‑free RL to produce a more robust reward function, claiming improved performance versus agents trained purely on reinforcement feedback. The authors argue this hybrid approach mitigates noisy reward signals common in financial environments and yields more stable out‑of‑sample results, a point that aligns with calls for safer, more explainable RL in the field. </w:t>
      </w:r>
      <w:hyperlink r:id="rId11">
        <w:r>
          <w:rPr>
            <w:color w:val="0000EE"/>
            <w:u w:val="single"/>
          </w:rPr>
          <w:t>[5]</w:t>
        </w:r>
      </w:hyperlink>
      <w:hyperlink r:id="rId10">
        <w:r>
          <w:rPr>
            <w:color w:val="0000EE"/>
            <w:u w:val="single"/>
          </w:rPr>
          <w:t>[2]</w:t>
        </w:r>
      </w:hyperlink>
      <w:r/>
    </w:p>
    <w:p>
      <w:r/>
      <w:r>
        <w:t xml:space="preserve">On the pricing front, a unified market‑complete model that blends Bachelier and Black‑Scholes‑Merton frameworks has been offered as a way to reconcile negative prices or riskless rates with standard option formulas and to bring zero‑coupon bond pricing more directly into the options pricing paradigm. The paper derives option and bond pricing results under this unified model, and the Quant Letter notes that such theoretical advances can materially affect how interest‑rate risk is represented inside RL‑based portfolio systems that must hedge across asset classes. The company‑style claims in some of these studies are best viewed with editorial caution until model performance is stress‑tested across regimes. </w:t>
      </w:r>
      <w:hyperlink r:id="rId12">
        <w:r>
          <w:rPr>
            <w:color w:val="0000EE"/>
            <w:u w:val="single"/>
          </w:rPr>
          <w:t>[3]</w:t>
        </w:r>
      </w:hyperlink>
      <w:hyperlink r:id="rId9">
        <w:r>
          <w:rPr>
            <w:color w:val="0000EE"/>
            <w:u w:val="single"/>
          </w:rPr>
          <w:t>[1]</w:t>
        </w:r>
      </w:hyperlink>
      <w:r/>
    </w:p>
    <w:p>
      <w:r/>
      <w:r>
        <w:t xml:space="preserve">Other applied work showcases hybrid optimisation strategies: a dynamic budget‑allocation system combines deep RL with Dirichlet‑style stochasticity and quantum‑inspired genetic mutation to align spend across R&amp;D and SG&amp;A with historical patterns, reporting strong fit to Apple’s 2009–2025 quarterly data. Separately, mean‑variance portfolio solutions that account for jumps and state‑dependent preferences demonstrate RL’s ability to adapt to changing objectives, but both strands underline that domain constraints and realistic transaction frictions remain decisive. According to the original reports, these approaches promise adaptability but require rigorous out‑of‑sample validation before being relied upon in production. </w:t>
      </w:r>
      <w:hyperlink r:id="rId13">
        <w:r>
          <w:rPr>
            <w:color w:val="0000EE"/>
            <w:u w:val="single"/>
          </w:rPr>
          <w:t>[4]</w:t>
        </w:r>
      </w:hyperlink>
      <w:hyperlink r:id="rId9">
        <w:r>
          <w:rPr>
            <w:color w:val="0000EE"/>
            <w:u w:val="single"/>
          </w:rPr>
          <w:t>[1]</w:t>
        </w:r>
      </w:hyperlink>
      <w:r/>
    </w:p>
    <w:p>
      <w:r/>
      <w:r>
        <w:t xml:space="preserve">There are also accessible, practitioner‑oriented signs of RL’s maturation. Educational and demonstration materials, from university specialisations teaching RL in finance to vendor videos showing RL agents outperforming delta hedging in hedging experiments, are broadening understanding of how agents interact with financial environments and transaction costs. The Quant Letter notes that such resources are reinforcing demand for usable RL tools while also exposing where academic setups diverge from live trading realities. </w:t>
      </w:r>
      <w:hyperlink r:id="rId14">
        <w:r>
          <w:rPr>
            <w:color w:val="0000EE"/>
            <w:u w:val="single"/>
          </w:rPr>
          <w:t>[7]</w:t>
        </w:r>
      </w:hyperlink>
      <w:hyperlink r:id="rId15">
        <w:r>
          <w:rPr>
            <w:color w:val="0000EE"/>
            <w:u w:val="single"/>
          </w:rPr>
          <w:t>[6]</w:t>
        </w:r>
      </w:hyperlink>
      <w:hyperlink r:id="rId9">
        <w:r>
          <w:rPr>
            <w:color w:val="0000EE"/>
            <w:u w:val="single"/>
          </w:rPr>
          <w:t>[1]</w:t>
        </w:r>
      </w:hyperlink>
      <w:r/>
    </w:p>
    <w:p>
      <w:r/>
      <w:r>
        <w:t xml:space="preserve">Taken together, the week’s work paints a picture of an ecosystem moving from proof‑of‑concept to cautious application: promising hybrid reward designs and unified pricing frameworks coexist with sober reminders that explainability, regulatory compliance and implementation discipline determine whether RL yields durable value. Industry observers and regulators should therefore focus on standards for interpretability, stress testing across market regimes and clear deployment protocols if the technology is to fulfil its practical potential without amplifying systemic risk. </w:t>
      </w:r>
      <w:hyperlink r:id="rId10">
        <w:r>
          <w:rPr>
            <w:color w:val="0000EE"/>
            <w:u w:val="single"/>
          </w:rPr>
          <w:t>[2]</w:t>
        </w:r>
      </w:hyperlink>
      <w:hyperlink r:id="rId12">
        <w:r>
          <w:rPr>
            <w:color w:val="0000EE"/>
            <w:u w:val="single"/>
          </w:rPr>
          <w:t>[3]</w:t>
        </w:r>
      </w:hyperlink>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(Quant Letter , ml‑quant blog) - Paragraph 1, Paragraph 4, Paragraph 5, Paragraph 6, Paragraph 7 </w:t>
      </w:r>
      <w:r/>
    </w:p>
    <w:p>
      <w:pPr>
        <w:pStyle w:val="ListBullet"/>
        <w:spacing w:line="240" w:lineRule="auto"/>
        <w:ind w:left="720"/>
      </w:pPr>
      <w:r/>
      <w:hyperlink r:id="rId10">
        <w:r>
          <w:rPr>
            <w:color w:val="0000EE"/>
            <w:u w:val="single"/>
          </w:rPr>
          <w:t>[2]</w:t>
        </w:r>
      </w:hyperlink>
      <w:r>
        <w:t xml:space="preserve"> (ArXiv , systematic RL review) - Paragraph 1, Paragraph 2, Paragraph 3, Paragraph 7 </w:t>
      </w:r>
      <w:r/>
    </w:p>
    <w:p>
      <w:pPr>
        <w:pStyle w:val="ListBullet"/>
        <w:spacing w:line="240" w:lineRule="auto"/>
        <w:ind w:left="720"/>
      </w:pPr>
      <w:r/>
      <w:hyperlink r:id="rId12">
        <w:r>
          <w:rPr>
            <w:color w:val="0000EE"/>
            <w:u w:val="single"/>
          </w:rPr>
          <w:t>[3]</w:t>
        </w:r>
      </w:hyperlink>
      <w:r>
        <w:t xml:space="preserve"> (ArXiv , unified pricing model) - Paragraph 4, Paragraph 7 </w:t>
      </w:r>
      <w:r/>
    </w:p>
    <w:p>
      <w:pPr>
        <w:pStyle w:val="ListBullet"/>
        <w:spacing w:line="240" w:lineRule="auto"/>
        <w:ind w:left="720"/>
      </w:pPr>
      <w:r/>
      <w:hyperlink r:id="rId13">
        <w:r>
          <w:rPr>
            <w:color w:val="0000EE"/>
            <w:u w:val="single"/>
          </w:rPr>
          <w:t>[4]</w:t>
        </w:r>
      </w:hyperlink>
      <w:r>
        <w:t xml:space="preserve"> (ArXiv , dynamic budget allocation) - Paragraph 5 </w:t>
      </w:r>
      <w:r/>
    </w:p>
    <w:p>
      <w:pPr>
        <w:pStyle w:val="ListBullet"/>
        <w:spacing w:line="240" w:lineRule="auto"/>
        <w:ind w:left="720"/>
      </w:pPr>
      <w:r/>
      <w:hyperlink r:id="rId11">
        <w:r>
          <w:rPr>
            <w:color w:val="0000EE"/>
            <w:u w:val="single"/>
          </w:rPr>
          <w:t>[5]</w:t>
        </w:r>
      </w:hyperlink>
      <w:r>
        <w:t xml:space="preserve"> (ArXiv , imitation‑augmented reward) - Paragraph 3 </w:t>
      </w:r>
      <w:r/>
    </w:p>
    <w:p>
      <w:pPr>
        <w:pStyle w:val="ListBullet"/>
        <w:spacing w:line="240" w:lineRule="auto"/>
        <w:ind w:left="720"/>
      </w:pPr>
      <w:r/>
      <w:hyperlink r:id="rId15">
        <w:r>
          <w:rPr>
            <w:color w:val="0000EE"/>
            <w:u w:val="single"/>
          </w:rPr>
          <w:t>[6]</w:t>
        </w:r>
      </w:hyperlink>
      <w:r>
        <w:t xml:space="preserve"> (MathWorks video) - Paragraph 6 </w:t>
      </w:r>
      <w:r/>
    </w:p>
    <w:p>
      <w:pPr>
        <w:pStyle w:val="ListBullet"/>
        <w:spacing w:line="240" w:lineRule="auto"/>
        <w:ind w:left="720"/>
      </w:pPr>
      <w:r/>
      <w:hyperlink r:id="rId14">
        <w:r>
          <w:rPr>
            <w:color w:val="0000EE"/>
            <w:u w:val="single"/>
          </w:rPr>
          <w:t>[7]</w:t>
        </w:r>
      </w:hyperlink>
      <w:r>
        <w:t xml:space="preserve"> (Coursera , RL in Finance course)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https://blog.ml-quant.com/p/quant-letter-december-2025-week-2</w:t>
        </w:r>
      </w:hyperlink>
      <w:r>
        <w:t xml:space="preserve"> - Please view link - unable to able to access data</w:t>
      </w:r>
      <w:r/>
    </w:p>
    <w:p>
      <w:pPr>
        <w:pStyle w:val="ListNumber"/>
        <w:spacing w:line="240" w:lineRule="auto"/>
        <w:ind w:left="720"/>
      </w:pPr>
      <w:r/>
      <w:hyperlink r:id="rId10">
        <w:r>
          <w:rPr>
            <w:color w:val="0000EE"/>
            <w:u w:val="single"/>
          </w:rPr>
          <w:t>https://arxiv.org/abs/2512.10913</w:t>
        </w:r>
      </w:hyperlink>
      <w:r>
        <w:t xml:space="preserve"> - This systematic review examines 167 articles from 2017 to 2025, focusing on the application of reinforcement learning (RL) in financial decision-making, particularly in market making, portfolio optimization, and algorithmic trading. The study identifies key performance issues and challenges in RL for finance, proposing a unified framework to address concerns such as explainability, robustness, and deployment feasibility. Empirical evidence suggests that implementation quality and domain knowledge often outweigh algorithmic complexity, highlighting the need for interpretable RL architectures for regulatory compliance and enhanced robustness in non-stationary environments.</w:t>
      </w:r>
      <w:r/>
    </w:p>
    <w:p>
      <w:pPr>
        <w:pStyle w:val="ListNumber"/>
        <w:spacing w:line="240" w:lineRule="auto"/>
        <w:ind w:left="720"/>
      </w:pPr>
      <w:r/>
      <w:hyperlink r:id="rId12">
        <w:r>
          <w:rPr>
            <w:color w:val="0000EE"/>
            <w:u w:val="single"/>
          </w:rPr>
          <w:t>https://arxiv.org/abs/2405.12479</w:t>
        </w:r>
      </w:hyperlink>
      <w:r>
        <w:t xml:space="preserve"> - This paper presents a unified, market-complete model integrating both the Bachelier and Black-Scholes-Merton frameworks for asset pricing. The model allows for the study of asset pricing in a world where negative security prices or riskless rates are possible. It derives option price formulas and extends the analysis to the term structure of interest rates by pricing zero-coupon bonds, forward contracts, and futures contracts. The study identifies a necessary condition for the unified model to support a perpetual derivative and develops discrete binomial pricing under this unified model.</w:t>
      </w:r>
      <w:r/>
    </w:p>
    <w:p>
      <w:pPr>
        <w:pStyle w:val="ListNumber"/>
        <w:spacing w:line="240" w:lineRule="auto"/>
        <w:ind w:left="720"/>
      </w:pPr>
      <w:r/>
      <w:hyperlink r:id="rId13">
        <w:r>
          <w:rPr>
            <w:color w:val="0000EE"/>
            <w:u w:val="single"/>
          </w:rPr>
          <w:t>https://arxiv.org/abs/2509.00095</w:t>
        </w:r>
      </w:hyperlink>
      <w:r>
        <w:t xml:space="preserve"> - This study proposes a hybrid reinforcement learning (RL) framework for dynamic budget allocation, enhanced with Dirichlet-inspired stochasticity and quantum mutation-based genetic optimization. Using Apple Inc. quarterly financial data from 2009 to 2025, the RL agent learns to allocate budgets between Research and Development and Selling, General and Administrative expenses to maximize profitability while adhering to historical spending patterns. The model achieves high alignment with actual allocations on unseen fiscal data, demonstrating the promise of combining deep RL, stochastic modeling, and quantum-inspired heuristics for adaptive enterprise budgeting.</w:t>
      </w:r>
      <w:r/>
    </w:p>
    <w:p>
      <w:pPr>
        <w:pStyle w:val="ListNumber"/>
        <w:spacing w:line="240" w:lineRule="auto"/>
        <w:ind w:left="720"/>
      </w:pPr>
      <w:r/>
      <w:hyperlink r:id="rId11">
        <w:r>
          <w:rPr>
            <w:color w:val="0000EE"/>
            <w:u w:val="single"/>
          </w:rPr>
          <w:t>https://arxiv.org/abs/2411.08637</w:t>
        </w:r>
      </w:hyperlink>
      <w:r>
        <w:t xml:space="preserve"> - This paper introduces a novel and more robust reward function by leveraging imitation learning, where a trend labeling algorithm acts as an expert. It integrates imitation (expert's) feedback with reinforcement (agent's) feedback in a model-free RL algorithm, effectively embedding the imitation learning problem within the RL paradigm to handle the stochasticity of reward signals. Empirical results demonstrate that this novel approach improves financial performance metrics compared to traditional benchmarks and RL agents trained solely using reinforcement feedback.</w:t>
      </w:r>
      <w:r/>
    </w:p>
    <w:p>
      <w:pPr>
        <w:pStyle w:val="ListNumber"/>
        <w:spacing w:line="240" w:lineRule="auto"/>
        <w:ind w:left="720"/>
      </w:pPr>
      <w:r/>
      <w:hyperlink r:id="rId15">
        <w:r>
          <w:rPr>
            <w:color w:val="0000EE"/>
            <w:u w:val="single"/>
          </w:rPr>
          <w:t>https://www.mathworks.com/videos/reinforcement-learning-in-finance-1578033119150.html</w:t>
        </w:r>
      </w:hyperlink>
      <w:r>
        <w:t xml:space="preserve"> - This video discusses building an automated trader using reinforcement learning to decide when to hedge a European call option contract, accounting for transaction costs. The setup involves an agent and an environment, where the agent learns by trial and error to maximize cumulative reward by choosing when to hedge during the life of the option. The trained agent outperformed a trader using delta hedging and another who decided not to hedge at all, demonstrating the effectiveness of reinforcement learning in financial decision-making.</w:t>
      </w:r>
      <w:r/>
    </w:p>
    <w:p>
      <w:pPr>
        <w:pStyle w:val="ListNumber"/>
        <w:spacing w:line="240" w:lineRule="auto"/>
        <w:ind w:left="720"/>
      </w:pPr>
      <w:r/>
      <w:hyperlink r:id="rId14">
        <w:r>
          <w:rPr>
            <w:color w:val="0000EE"/>
            <w:u w:val="single"/>
          </w:rPr>
          <w:t>https://www.coursera.org/learn/reinforcement-learning-in-finance</w:t>
        </w:r>
      </w:hyperlink>
      <w:r>
        <w:t xml:space="preserve"> - This course, part of the Machine Learning and Reinforcement Learning in Finance Specialization offered by New York University, provides an in-depth understanding of reinforcement learning applications in finance. It covers topics such as portfolio optimization, algorithmic trading, and risk management, equipping learners with the skills to apply RL techniques to complex financial problems. The course is designed for individuals already in the industry and is suitable for those looking to enhance their expertise in financial decision-making using reinforcement learning.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ml-quant.com/p/quant-letter-december-2025-week-2" TargetMode="External"/><Relationship Id="rId10" Type="http://schemas.openxmlformats.org/officeDocument/2006/relationships/hyperlink" Target="https://arxiv.org/abs/2512.10913" TargetMode="External"/><Relationship Id="rId11" Type="http://schemas.openxmlformats.org/officeDocument/2006/relationships/hyperlink" Target="https://arxiv.org/abs/2411.08637" TargetMode="External"/><Relationship Id="rId12" Type="http://schemas.openxmlformats.org/officeDocument/2006/relationships/hyperlink" Target="https://arxiv.org/abs/2405.12479" TargetMode="External"/><Relationship Id="rId13" Type="http://schemas.openxmlformats.org/officeDocument/2006/relationships/hyperlink" Target="https://arxiv.org/abs/2509.00095" TargetMode="External"/><Relationship Id="rId14" Type="http://schemas.openxmlformats.org/officeDocument/2006/relationships/hyperlink" Target="https://www.coursera.org/learn/reinforcement-learning-in-finance" TargetMode="External"/><Relationship Id="rId15" Type="http://schemas.openxmlformats.org/officeDocument/2006/relationships/hyperlink" Target="https://www.mathworks.com/videos/reinforcement-learning-in-finance-1578033119150.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