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Wunderkind predicts AI-driven transformation as 2026 marks a pivotal shift for digital advertising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Wunderkind’s December 10, 2025 forecast frames 2026 as a structural inflection point for digital advertising, where artificial intelligence shifts from a toolkit for automation to an orchestration layer that ties first‑party identity, creative, channel selection and timing into real‑time, revenue‑driving decisions. According to the original report, insights from 28 executives across agencies, ecommerce platforms and analytics firms show brands preparing to move from “data hoarding to data activation” as cookies fade and privacy rules tighten. </w:t>
      </w:r>
      <w:hyperlink r:id="rId9">
        <w:r>
          <w:rPr>
            <w:color w:val="0000EE"/>
            <w:u w:val="single"/>
          </w:rPr>
          <w:t>[1]</w:t>
        </w:r>
      </w:hyperlink>
      <w:r/>
    </w:p>
    <w:p>
      <w:r/>
      <w:r>
        <w:t xml:space="preserve">The report names agentic AI , systems that analyse signals, infer intent and autonomously choose content, channel and timing , as the central technical change. Chris Marriott, president and founder at Email Connect, told Wunderkind that “with the rise of autonomous marketing platforms, journeys will be a thing of the past for leading brands. Agents will personalize journeys at the customer level, determining timing, channel, and offer in real‑time for each individual.” That trajectory is echoed in broader industry commentary forecasting an “agentic era” for marketing and search.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Investment trends underline the momentum. Wunderkind cites $824 million spent on GenAI app projects in 2025 within a $109 billion mobile marketing ecosystem and predicts acceleration as agentic capabilities move beyond task automation into strategic decisioning. Industry observers note parallel acceleration in platform‑level agent development and growing attention to how agents will be monetised and verified. </w:t>
      </w:r>
      <w:hyperlink r:id="rId9">
        <w:r>
          <w:rPr>
            <w:color w:val="0000EE"/>
            <w:u w:val="single"/>
          </w:rPr>
          <w:t>[1]</w:t>
        </w:r>
      </w:hyperlink>
      <w:hyperlink r:id="rId12">
        <w:r>
          <w:rPr>
            <w:color w:val="0000EE"/>
            <w:u w:val="single"/>
          </w:rPr>
          <w:t>[3]</w:t>
        </w:r>
      </w:hyperlink>
      <w:hyperlink r:id="rId13">
        <w:r>
          <w:rPr>
            <w:color w:val="0000EE"/>
            <w:u w:val="single"/>
          </w:rPr>
          <w:t>[6]</w:t>
        </w:r>
      </w:hyperlink>
      <w:r/>
    </w:p>
    <w:p>
      <w:r/>
      <w:r>
        <w:t xml:space="preserve">At the heart of the forecast is a renewed premium on privacy‑first identity infrastructure. The report argues identity resolution will be the foundation for reach and relevance once third‑party cookies disappear, recommending a technical stack anchored in consented identity graphs, real‑time event pipelines, clean‑room connectivity and governance. Zach Bingham at Lunar Solar Group summarised the stack, while Rachel Waldstein at Wunderkind framed identity as a “living network” that continuously sharpens predictive models. </w:t>
      </w:r>
      <w:hyperlink r:id="rId9">
        <w:r>
          <w:rPr>
            <w:color w:val="0000EE"/>
            <w:u w:val="single"/>
          </w:rPr>
          <w:t>[1]</w:t>
        </w:r>
      </w:hyperlink>
      <w:r/>
    </w:p>
    <w:p>
      <w:r/>
      <w:r>
        <w:t xml:space="preserve">Wunderkind’s contributors also stress the commercial logic of leading with transparency. Jimmy Kim, co‑founder and CEO of eCom Email Marketer, said customers “will share their information if you're transparent about why you need it and how it benefits them. First‑party data becomes more powerful when you lead with privacy.” Gartner and other analysts cited in the report project growing regulatory coverage through 2026, meaning organisations must reconcile privacy compliance with actionable data strategy. </w:t>
      </w:r>
      <w:hyperlink r:id="rId9">
        <w:r>
          <w:rPr>
            <w:color w:val="0000EE"/>
            <w:u w:val="single"/>
          </w:rPr>
          <w:t>[1]</w:t>
        </w:r>
      </w:hyperlink>
      <w:r/>
    </w:p>
    <w:p>
      <w:r/>
      <w:r>
        <w:t xml:space="preserve">The forecast foresees AI shopping agents reshaping discovery and conversion dynamics, particularly for repeat and commodity purchases. Nick Shackelford of Structured predicted optimisation for “AI shelf placement” , analogous to SEO or marketplace ranking today , and Fritz Brumder at WiseOx argued that AI research will increasingly influence purchase behaviour even before fully supplanting reviews or search. This raises practical questions about how brands feed richer product data, social proof and UGC signals into emergent agent ecosystems. </w:t>
      </w:r>
      <w:hyperlink r:id="rId9">
        <w:r>
          <w:rPr>
            <w:color w:val="0000EE"/>
            <w:u w:val="single"/>
          </w:rPr>
          <w:t>[1]</w:t>
        </w:r>
      </w:hyperlink>
      <w:hyperlink r:id="rId14">
        <w:r>
          <w:rPr>
            <w:color w:val="0000EE"/>
            <w:u w:val="single"/>
          </w:rPr>
          <w:t>[7]</w:t>
        </w:r>
      </w:hyperlink>
      <w:hyperlink r:id="rId13">
        <w:r>
          <w:rPr>
            <w:color w:val="0000EE"/>
            <w:u w:val="single"/>
          </w:rPr>
          <w:t>[6]</w:t>
        </w:r>
      </w:hyperlink>
      <w:r/>
    </w:p>
    <w:p>
      <w:r/>
      <w:r>
        <w:t xml:space="preserve">Owned channels such as email, SMS and mobile wallets are expected to evolve into interactive, real‑time experiences rather than one‑way broadcasts. Wunderkind data shows consumer preference for personalised email offers remains strong, and contributors describe emails becoming “micro‑apps” with live inventory, quizzes and agent blocks. Brooke Yoakam at AvidAI anticipated SMS continuing to surge as an immediate, high‑intent channel, while Jordan West of Social Commerce Club warned success will come from resonance over volume. </w:t>
      </w:r>
      <w:hyperlink r:id="rId9">
        <w:r>
          <w:rPr>
            <w:color w:val="0000EE"/>
            <w:u w:val="single"/>
          </w:rPr>
          <w:t>[1]</w:t>
        </w:r>
      </w:hyperlink>
      <w:r/>
    </w:p>
    <w:p>
      <w:r/>
      <w:r>
        <w:t xml:space="preserve">Loyalty and post‑purchase experiences are reframed as relationship architectures powered by predictive signals and fatigue detection. The report highlights moves away from simple points systems toward memberships with concierge options, skip/swap flexibility and local perks, using AI to reduce churn and optimise lifetime value. Ben Argov at IWA Wine Accessories illustrated how long histories of customer behaviour let AI balance individual uniqueness with segment‑level patterns. </w:t>
      </w:r>
      <w:hyperlink r:id="rId9">
        <w:r>
          <w:rPr>
            <w:color w:val="0000EE"/>
            <w:u w:val="single"/>
          </w:rPr>
          <w:t>[1]</w:t>
        </w:r>
      </w:hyperlink>
      <w:r/>
    </w:p>
    <w:p>
      <w:r/>
      <w:r>
        <w:t xml:space="preserve">Wunderkind stresses that 2026 will be a year of consolidation around platforms that prove measurable lift: API‑first interoperable stacks, first‑party identity, agentic decisioning and “revenue‑grade” analytics. Yet uncertainty remains , from platform API changes and acquisition channel disruption to the risk of superficial AI adoption. As Ajinkya “Jinx” Joglekar warns in the report, “most companies can't achieve meaningful scale with first‑party data alone... The real opportunity lies in combining that data with privacy‑first partnerships and AI‑generated propensity models.” The competitive edge, the forecast concludes, will belong to organisations that turn intelligence into intimacy , using AI to handle complexity while humans deliver connection.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(PPC Land / Wunderkind report)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(Soocialhaus) - Paragraph 2 </w:t>
      </w:r>
      <w:r/>
    </w:p>
    <w:p>
      <w:pPr>
        <w:pStyle w:val="ListBullet"/>
        <w:spacing w:line="240" w:lineRule="auto"/>
        <w:ind w:left="720"/>
      </w:pPr>
      <w:r/>
      <w:hyperlink r:id="rId12">
        <w:r>
          <w:rPr>
            <w:color w:val="0000EE"/>
            <w:u w:val="single"/>
          </w:rPr>
          <w:t>[3]</w:t>
        </w:r>
      </w:hyperlink>
      <w:r>
        <w:t xml:space="preserve"> (Forbes) - Paragraph 3 </w:t>
      </w:r>
      <w:r/>
    </w:p>
    <w:p>
      <w:pPr>
        <w:pStyle w:val="ListBullet"/>
        <w:spacing w:line="240" w:lineRule="auto"/>
        <w:ind w:left="720"/>
      </w:pPr>
      <w:r/>
      <w:hyperlink r:id="rId11">
        <w:r>
          <w:rPr>
            <w:color w:val="0000EE"/>
            <w:u w:val="single"/>
          </w:rPr>
          <w:t>[5]</w:t>
        </w:r>
      </w:hyperlink>
      <w:r>
        <w:t xml:space="preserve"> (Salesforce) - Paragraph 2 </w:t>
      </w:r>
      <w:r/>
    </w:p>
    <w:p>
      <w:pPr>
        <w:pStyle w:val="ListBullet"/>
        <w:spacing w:line="240" w:lineRule="auto"/>
        <w:ind w:left="720"/>
      </w:pPr>
      <w:r/>
      <w:hyperlink r:id="rId13">
        <w:r>
          <w:rPr>
            <w:color w:val="0000EE"/>
            <w:u w:val="single"/>
          </w:rPr>
          <w:t>[6]</w:t>
        </w:r>
      </w:hyperlink>
      <w:r>
        <w:t xml:space="preserve"> (IOpex) - Paragraph 3, Paragraph 6 </w:t>
      </w:r>
      <w:r/>
    </w:p>
    <w:p>
      <w:pPr>
        <w:pStyle w:val="ListBullet"/>
        <w:spacing w:line="240" w:lineRule="auto"/>
        <w:ind w:left="720"/>
      </w:pPr>
      <w:r/>
      <w:hyperlink r:id="rId14">
        <w:r>
          <w:rPr>
            <w:color w:val="0000EE"/>
            <w:u w:val="single"/>
          </w:rPr>
          <w:t>[7]</w:t>
        </w:r>
      </w:hyperlink>
      <w:r>
        <w:t xml:space="preserve"> (Publicis Sapient)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https://ppc.land/what-28-marketing-executives-predict-will-transform-digital-advertising-in-2026/</w:t>
        </w:r>
      </w:hyperlink>
      <w:r>
        <w:t xml:space="preserve"> - Please view link - unable to able to access data</w:t>
      </w:r>
      <w:r/>
    </w:p>
    <w:p>
      <w:pPr>
        <w:pStyle w:val="ListNumber"/>
        <w:spacing w:line="240" w:lineRule="auto"/>
        <w:ind w:left="720"/>
      </w:pPr>
      <w:r/>
      <w:hyperlink r:id="rId10">
        <w:r>
          <w:rPr>
            <w:color w:val="0000EE"/>
            <w:u w:val="single"/>
          </w:rPr>
          <w:t>https://soocialhaus.in/2025/12/03/seo-marketing-tech-predictions-2026-agentic-era/</w:t>
        </w:r>
      </w:hyperlink>
      <w:r>
        <w:t xml:space="preserve"> - This article discusses seven revolutionary predictions for SEO, marketing, and technology by 2026, focusing on the rise of agentic AI, the separation of verified and synthetic content on platforms, and the emergence of ChatGPT's ad platform as a demand engine. It highlights the increasing importance of AI in digital marketing and the need for brands to adapt to these changes to remain competitive.</w:t>
      </w:r>
      <w:r/>
    </w:p>
    <w:p>
      <w:pPr>
        <w:pStyle w:val="ListNumber"/>
        <w:spacing w:line="240" w:lineRule="auto"/>
        <w:ind w:left="720"/>
      </w:pPr>
      <w:r/>
      <w:hyperlink r:id="rId12">
        <w:r>
          <w:rPr>
            <w:color w:val="0000EE"/>
            <w:u w:val="single"/>
          </w:rPr>
          <w:t>https://www.forbes.com/sites/digital-assets/2025/12/02/14-predictions-that-will-redefine-ai-robots--blockchain-in-2026/</w:t>
        </w:r>
      </w:hyperlink>
      <w:r>
        <w:t xml:space="preserve"> - Forbes presents 14 predictions that will redefine AI, robots, and blockchain by 2026, including the targeting of AI agents in marketing, the necessity of AI agent verification with blockchain, and the evolution of AI ethics from theory to proof. The article emphasizes the growing role of AI in various sectors and the importance of ethical considerations in AI development.</w:t>
      </w:r>
      <w:r/>
    </w:p>
    <w:p>
      <w:pPr>
        <w:pStyle w:val="ListNumber"/>
        <w:spacing w:line="240" w:lineRule="auto"/>
        <w:ind w:left="720"/>
      </w:pPr>
      <w:r/>
      <w:hyperlink r:id="rId16">
        <w:r>
          <w:rPr>
            <w:color w:val="0000EE"/>
            <w:u w:val="single"/>
          </w:rPr>
          <w:t>https://rafaelhill.com/2025/09/22/digital-marketing-2026-predictions-ai-future/</w:t>
        </w:r>
      </w:hyperlink>
      <w:r>
        <w:t xml:space="preserve"> - Rafael Hill outlines digital marketing predictions for 2026, focusing on privacy-first technologies reshaping targeting, such as blockchain identity management and zero-knowledge proof marketing. The article also discusses the rise of spatial audio advertising and the mandatory nature of sustainable marketing, highlighting the need for brands to adapt to these emerging trends.</w:t>
      </w:r>
      <w:r/>
    </w:p>
    <w:p>
      <w:pPr>
        <w:pStyle w:val="ListNumber"/>
        <w:spacing w:line="240" w:lineRule="auto"/>
        <w:ind w:left="720"/>
      </w:pPr>
      <w:r/>
      <w:hyperlink r:id="rId11">
        <w:r>
          <w:rPr>
            <w:color w:val="0000EE"/>
            <w:u w:val="single"/>
          </w:rPr>
          <w:t>https://www.salesforce.com/au/news/stories/the-future-of-ai-agents-top-predictions-trends-to-watch-in-2026/</w:t>
        </w:r>
      </w:hyperlink>
      <w:r>
        <w:t xml:space="preserve"> - Salesforce explores the future of AI agents, predicting that by 2026, brands will be defined by their AI identities, with customizable agents becoming ultimate brand ambassadors. The article also discusses the importance of relational intelligence as a differentiator in agentic experiences, emphasizing the need for brands to focus on deep personalization.</w:t>
      </w:r>
      <w:r/>
    </w:p>
    <w:p>
      <w:pPr>
        <w:pStyle w:val="ListNumber"/>
        <w:spacing w:line="240" w:lineRule="auto"/>
        <w:ind w:left="720"/>
      </w:pPr>
      <w:r/>
      <w:hyperlink r:id="rId13">
        <w:r>
          <w:rPr>
            <w:color w:val="0000EE"/>
            <w:u w:val="single"/>
          </w:rPr>
          <w:t>https://www.iopex.com/blog/digital-advertising-trends</w:t>
        </w:r>
      </w:hyperlink>
      <w:r>
        <w:t xml:space="preserve"> - This blog post outlines digital advertising trends shaping 2026, including the shift from ad impressions to intelligence, the rise of AI agents in product purchasing, and the transformation of campaign execution to autonomous optimization. It highlights the structural changes in digital advertising and the need for brands to adapt to these developments.</w:t>
      </w:r>
      <w:r/>
    </w:p>
    <w:p>
      <w:pPr>
        <w:pStyle w:val="ListNumber"/>
        <w:spacing w:line="240" w:lineRule="auto"/>
        <w:ind w:left="720"/>
      </w:pPr>
      <w:r/>
      <w:hyperlink r:id="rId14">
        <w:r>
          <w:rPr>
            <w:color w:val="0000EE"/>
            <w:u w:val="single"/>
          </w:rPr>
          <w:t>https://www.publicissapient.com/content/dam/ps-reinvent/us/en/global/guide-to-next-2026/docs/Guide-to-Next-2026.pdf</w:t>
        </w:r>
      </w:hyperlink>
      <w:r>
        <w:t xml:space="preserve"> - This guide discusses the future of commerce in 2026, focusing on the rise of agentic commerce and the need for brands to adapt to AI-driven shopping experiences. It outlines the phases of agentic commerce, from ChatGPT as a shortcut to agent-to-agent commerce, and emphasizes the importance of data trust signals and autonomous agents in brand strategy.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what-28-marketing-executives-predict-will-transform-digital-advertising-in-2026/" TargetMode="External"/><Relationship Id="rId10" Type="http://schemas.openxmlformats.org/officeDocument/2006/relationships/hyperlink" Target="https://soocialhaus.in/2025/12/03/seo-marketing-tech-predictions-2026-agentic-era/" TargetMode="External"/><Relationship Id="rId11" Type="http://schemas.openxmlformats.org/officeDocument/2006/relationships/hyperlink" Target="https://www.salesforce.com/au/news/stories/the-future-of-ai-agents-top-predictions-trends-to-watch-in-2026/" TargetMode="External"/><Relationship Id="rId12" Type="http://schemas.openxmlformats.org/officeDocument/2006/relationships/hyperlink" Target="https://www.forbes.com/sites/digital-assets/2025/12/02/14-predictions-that-will-redefine-ai-robots--blockchain-in-2026/" TargetMode="External"/><Relationship Id="rId13" Type="http://schemas.openxmlformats.org/officeDocument/2006/relationships/hyperlink" Target="https://www.iopex.com/blog/digital-advertising-trends" TargetMode="External"/><Relationship Id="rId14" Type="http://schemas.openxmlformats.org/officeDocument/2006/relationships/hyperlink" Target="https://www.publicissapient.com/content/dam/ps-reinvent/us/en/global/guide-to-next-2026/docs/Guide-to-Next-2026.pdf" TargetMode="External"/><Relationship Id="rId15" Type="http://schemas.openxmlformats.org/officeDocument/2006/relationships/hyperlink" Target="https://www.noahwire.com" TargetMode="External"/><Relationship Id="rId16" Type="http://schemas.openxmlformats.org/officeDocument/2006/relationships/hyperlink" Target="https://rafaelhill.com/2025/09/22/digital-marketing-2026-predictions-ai-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