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moves from experimentation to enterprise core amid security and adoption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conversation that once treated advanced artificial intelligence as speculative has hardened into urgent planning across labs, businesses and governments. According to the original report, leading research centres are no longer debating possibility but preparing arrival scenarios and transition plans as agentic systems , AIs that act in the world to pursue outcomes , move from experiments into production tools. </w:t>
      </w:r>
      <w:hyperlink r:id="rId9">
        <w:r>
          <w:rPr>
            <w:color w:val="0000EE"/>
            <w:u w:val="single"/>
          </w:rPr>
          <w:t>[1]</w:t>
        </w:r>
      </w:hyperlink>
      <w:r/>
    </w:p>
    <w:p>
      <w:r/>
      <w:r>
        <w:t xml:space="preserve">The technical arc that enabled this shift is familiar: large neural networks develop emergent internal representations that enable reasoning, planning and tool use even when trained on simple predictive tasks. Those emergent capabilities shortened the path from research curiosity to productisation, and iterative deployment strategies have accelerated real-world adoption while creating defensive habits such as verification and monitoring. This dynamic is already reshaping developer and enterprise workflows. </w:t>
      </w:r>
      <w:hyperlink r:id="rId9">
        <w:r>
          <w:rPr>
            <w:color w:val="0000EE"/>
            <w:u w:val="single"/>
          </w:rPr>
          <w:t>[1]</w:t>
        </w:r>
      </w:hyperlink>
      <w:r/>
    </w:p>
    <w:p>
      <w:r/>
      <w:r>
        <w:t xml:space="preserve">The defining change is the move from chat-based assistants to autonomous agents that take ownership of tasks and deliver end-to-end outcomes , from triaging incidents and generating and testing code to integrating with observability platforms and running UI automation. The company claims and product launches referenced in industry coverage show major cloud providers and vendors organising around agentic stacks intended for 24/7 operation. AWS, for example, formed a dedicated group focused on agentic AI to push proactive, promptless task performance and pursue what its executives describe as a multi-billion-dollar business opportunity. </w:t>
      </w:r>
      <w:hyperlink r:id="rId9">
        <w:r>
          <w:rPr>
            <w:color w:val="0000EE"/>
            <w:u w:val="single"/>
          </w:rPr>
          <w:t>[1]</w:t>
        </w:r>
      </w:hyperlink>
      <w:hyperlink r:id="rId10">
        <w:r>
          <w:rPr>
            <w:color w:val="0000EE"/>
            <w:u w:val="single"/>
          </w:rPr>
          <w:t>[3]</w:t>
        </w:r>
      </w:hyperlink>
      <w:r/>
    </w:p>
    <w:p>
      <w:r/>
      <w:r>
        <w:t xml:space="preserve">That transition is already visible in the field: multi-agent testbeds, agent "villages" that connect models to the internet and APIs, and one-shot generation of playable 3D HTML games demonstrate both the creative and operational reach of agents. Industry reporting and analyst commentary underline that some deployments are delivering measurable returns , accelerating revenue, expanding margins and reducing operating costs in early enterprise implementations , even as others struggle to show clear business outcomes. </w:t>
      </w:r>
      <w:hyperlink r:id="rId9">
        <w:r>
          <w:rPr>
            <w:color w:val="0000EE"/>
            <w:u w:val="single"/>
          </w:rPr>
          <w:t>[1]</w:t>
        </w:r>
      </w:hyperlink>
      <w:hyperlink r:id="rId11">
        <w:r>
          <w:rPr>
            <w:color w:val="0000EE"/>
            <w:u w:val="single"/>
          </w:rPr>
          <w:t>[6]</w:t>
        </w:r>
      </w:hyperlink>
      <w:r/>
    </w:p>
    <w:p>
      <w:r/>
      <w:r>
        <w:t xml:space="preserve">The infrastructure question is central. Continuous fleets of agents require efficient inference, specialised silicon and high-density clusters to make always-on automation economically viable. Cloud providers’ infrastructure investments and new hardware stacks are reducing cost-per-operation and enabling enterprises to consider sustained agent operations as a practical proposition. </w:t>
      </w:r>
      <w:hyperlink r:id="rId9">
        <w:r>
          <w:rPr>
            <w:color w:val="0000EE"/>
            <w:u w:val="single"/>
          </w:rPr>
          <w:t>[1]</w:t>
        </w:r>
      </w:hyperlink>
      <w:hyperlink r:id="rId10">
        <w:r>
          <w:rPr>
            <w:color w:val="0000EE"/>
            <w:u w:val="single"/>
          </w:rPr>
          <w:t>[3]</w:t>
        </w:r>
      </w:hyperlink>
      <w:r/>
    </w:p>
    <w:p>
      <w:r/>
      <w:r>
        <w:t xml:space="preserve">But the path to adoption is rugged. Analysts at Gartner warned that more than 40% of agentic AI projects will be cancelled by 2027 because of high costs and unclear value, even while forecasting that agentic systems will nonetheless handle a significant fraction of business decisions and be embedded in a third of enterprise software by 2028. Security professionals echo the caution: a SailPoint survey found nearly universal plans to expand agent use alongside a widespread view that agents pose security risks through limited visibility and control, and vendors such as Palo Alto Networks caution that governance and cybersecurity failures could push actual failure rates above analyst estimates. </w:t>
      </w:r>
      <w:hyperlink r:id="rId12">
        <w:r>
          <w:rPr>
            <w:color w:val="0000EE"/>
            <w:u w:val="single"/>
          </w:rPr>
          <w:t>[2]</w:t>
        </w:r>
      </w:hyperlink>
      <w:hyperlink r:id="rId13">
        <w:r>
          <w:rPr>
            <w:color w:val="0000EE"/>
            <w:u w:val="single"/>
          </w:rPr>
          <w:t>[4]</w:t>
        </w:r>
      </w:hyperlink>
      <w:hyperlink r:id="rId14">
        <w:r>
          <w:rPr>
            <w:color w:val="0000EE"/>
            <w:u w:val="single"/>
          </w:rPr>
          <w:t>[5]</w:t>
        </w:r>
      </w:hyperlink>
      <w:r/>
    </w:p>
    <w:p>
      <w:r/>
      <w:r>
        <w:t xml:space="preserve">Those dual signals , commercial promise and operational fragility , shape the policy and social conversation. Policy circles are already sketching divergent macroeconomic trajectories: one scenario of rapid productivity-driven abundance, the other of systemic disruption and falling output if transitions are disorderly. The shift from “if” to “when” is changing planning postures: a public roadmap cited by a research leader stated, "In 10 more years, we are almost certain to build superintelligence." That declaration is framed in the original coverage as a planning posture rather than a deterministic timestamp, but it has pushed institutions to weigh licensing, phased deployment, safety controls and redistribution mechanisms now. </w:t>
      </w:r>
      <w:hyperlink r:id="rId9">
        <w:r>
          <w:rPr>
            <w:color w:val="0000EE"/>
            <w:u w:val="single"/>
          </w:rPr>
          <w:t>[1]</w:t>
        </w:r>
      </w:hyperlink>
      <w:r/>
    </w:p>
    <w:p>
      <w:r/>
      <w:r>
        <w:t xml:space="preserve">For businesses the practical window is immediate: treat the next 12–36 months as runway. Industry guidance recommends auditing processes for agent suitability, experimenting with policy-controlled pilots in low-risk domains, investing in reskilling and human-plus-AI teaming, and stress-testing scenarios for both accelerated abundance and sharp disruption. Firms that combine measured experimentation with robust governance and identity-first security models are those most likely to capture operational leverage while containing downside. </w:t>
      </w:r>
      <w:hyperlink r:id="rId9">
        <w:r>
          <w:rPr>
            <w:color w:val="0000EE"/>
            <w:u w:val="single"/>
          </w:rPr>
          <w:t>[1]</w:t>
        </w:r>
      </w:hyperlink>
      <w:hyperlink r:id="rId12">
        <w:r>
          <w:rPr>
            <w:color w:val="0000EE"/>
            <w:u w:val="single"/>
          </w:rPr>
          <w:t>[2]</w:t>
        </w:r>
      </w:hyperlink>
      <w:hyperlink r:id="rId13">
        <w:r>
          <w:rPr>
            <w:color w:val="0000EE"/>
            <w:u w:val="single"/>
          </w:rPr>
          <w:t>[4]</w:t>
        </w:r>
      </w:hyperlink>
      <w:hyperlink r:id="rId11">
        <w:r>
          <w:rPr>
            <w:color w:val="0000EE"/>
            <w:u w:val="single"/>
          </w:rPr>
          <w:t>[6]</w:t>
        </w:r>
      </w:hyperlink>
      <w:r/>
    </w:p>
    <w:p>
      <w:r/>
      <w:r>
        <w:t xml:space="preserve">For educators and policymakers, the implication is systemic: curricula, assessment and social-safety mechanisms must evolve. Universities should prioritise interdisciplinary fluency, oversight and judgement skills rather than rote knowledge, while governments should consider phased licensing, targeted retraining programmes and income-support pilots to smooth transitions. International coordination will be necessary to reduce competitive pressure that might incentivise risky deployments. </w:t>
      </w:r>
      <w:hyperlink r:id="rId9">
        <w:r>
          <w:rPr>
            <w:color w:val="0000EE"/>
            <w:u w:val="single"/>
          </w:rPr>
          <w:t>[1]</w:t>
        </w:r>
      </w:hyperlink>
      <w:r/>
    </w:p>
    <w:p>
      <w:r/>
      <w:r>
        <w:t xml:space="preserve">The stakes are high but actionable. Technical governance , interpretability, evaluation suites and policy controls , combined with regulatory frameworks and organisational resilience can widen the favourable path. Industry reporting shows both successful early implementations and persistent failure modes; the sensible posture is one of urgent, humble planning that buys optionality regardless of whether the coming decade bends toward abundance or disruption. </w:t>
      </w:r>
      <w:hyperlink r:id="rId9">
        <w:r>
          <w:rPr>
            <w:color w:val="0000EE"/>
            <w:u w:val="single"/>
          </w:rPr>
          <w:t>[1]</w:t>
        </w:r>
      </w:hyperlink>
      <w:hyperlink r:id="rId12">
        <w:r>
          <w:rPr>
            <w:color w:val="0000EE"/>
            <w:u w:val="single"/>
          </w:rPr>
          <w:t>[2]</w:t>
        </w:r>
      </w:hyperlink>
      <w:hyperlink r:id="rId10">
        <w:r>
          <w:rPr>
            <w:color w:val="0000EE"/>
            <w:u w:val="single"/>
          </w:rPr>
          <w:t>[3]</w:t>
        </w:r>
      </w:hyperlink>
      <w:hyperlink r:id="rId13">
        <w:r>
          <w:rPr>
            <w:color w:val="0000EE"/>
            <w:u w:val="single"/>
          </w:rPr>
          <w:t>[4]</w:t>
        </w:r>
      </w:hyperlink>
      <w:hyperlink r:id="rId14">
        <w:r>
          <w:rPr>
            <w:color w:val="0000EE"/>
            <w:u w:val="single"/>
          </w:rPr>
          <w:t>[5]</w:t>
        </w:r>
      </w:hyperlink>
      <w:hyperlink r:id="rId11">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(Canadian Technology Magazine) - Paragraph 1, Paragraph 2, Paragraph 3, Paragraph 4, Paragraph 6, Paragraph 7, Paragraph 8, Paragraph 9, Paragraph 10 </w:t>
      </w:r>
      <w:r/>
    </w:p>
    <w:p>
      <w:pPr>
        <w:pStyle w:val="ListBullet"/>
        <w:spacing w:line="240" w:lineRule="auto"/>
        <w:ind w:left="720"/>
      </w:pPr>
      <w:r/>
      <w:hyperlink r:id="rId10">
        <w:r>
          <w:rPr>
            <w:color w:val="0000EE"/>
            <w:u w:val="single"/>
          </w:rPr>
          <w:t>[3]</w:t>
        </w:r>
      </w:hyperlink>
      <w:r>
        <w:t xml:space="preserve"> (Reuters - AWS forms new group) - Paragraph 3, Paragraph 5, Paragraph 10 </w:t>
      </w:r>
      <w:r/>
    </w:p>
    <w:p>
      <w:pPr>
        <w:pStyle w:val="ListBullet"/>
        <w:spacing w:line="240" w:lineRule="auto"/>
        <w:ind w:left="720"/>
      </w:pPr>
      <w:r/>
      <w:hyperlink r:id="rId11">
        <w:r>
          <w:rPr>
            <w:color w:val="0000EE"/>
            <w:u w:val="single"/>
          </w:rPr>
          <w:t>[6]</w:t>
        </w:r>
      </w:hyperlink>
      <w:r>
        <w:t xml:space="preserve"> (Forbes) - Paragraph 4, Paragraph 8 </w:t>
      </w:r>
      <w:r/>
    </w:p>
    <w:p>
      <w:pPr>
        <w:pStyle w:val="ListBullet"/>
        <w:spacing w:line="240" w:lineRule="auto"/>
        <w:ind w:left="720"/>
      </w:pPr>
      <w:r/>
      <w:hyperlink r:id="rId12">
        <w:r>
          <w:rPr>
            <w:color w:val="0000EE"/>
            <w:u w:val="single"/>
          </w:rPr>
          <w:t>[2]</w:t>
        </w:r>
      </w:hyperlink>
      <w:r>
        <w:t xml:space="preserve"> (Reuters - Gartner) - Paragraph 6, Paragraph 8, Paragraph 10 </w:t>
      </w:r>
      <w:r/>
    </w:p>
    <w:p>
      <w:pPr>
        <w:pStyle w:val="ListBullet"/>
        <w:spacing w:line="240" w:lineRule="auto"/>
        <w:ind w:left="720"/>
      </w:pPr>
      <w:r/>
      <w:hyperlink r:id="rId13">
        <w:r>
          <w:rPr>
            <w:color w:val="0000EE"/>
            <w:u w:val="single"/>
          </w:rPr>
          <w:t>[4]</w:t>
        </w:r>
      </w:hyperlink>
      <w:r>
        <w:t xml:space="preserve"> (TechRadar / SailPoint survey) - Paragraph 6, Paragraph 8, Paragraph 10 </w:t>
      </w:r>
      <w:r/>
    </w:p>
    <w:p>
      <w:pPr>
        <w:pStyle w:val="ListBullet"/>
        <w:spacing w:line="240" w:lineRule="auto"/>
        <w:ind w:left="720"/>
      </w:pPr>
      <w:r/>
      <w:hyperlink r:id="rId14">
        <w:r>
          <w:rPr>
            <w:color w:val="0000EE"/>
            <w:u w:val="single"/>
          </w:rPr>
          <w:t>[5]</w:t>
        </w:r>
      </w:hyperlink>
      <w:r>
        <w:t xml:space="preserve"> (ITPro / Palo Alto Networks) - Paragraph 6, Paragraph 10 </w:t>
      </w:r>
      <w:r/>
    </w:p>
    <w:p>
      <w:pPr>
        <w:pStyle w:val="ListBullet"/>
        <w:spacing w:line="240" w:lineRule="auto"/>
        <w:ind w:left="720"/>
      </w:pPr>
      <w:r/>
      <w:hyperlink r:id="rId15">
        <w:r>
          <w:rPr>
            <w:color w:val="0000EE"/>
            <w:u w:val="single"/>
          </w:rPr>
          <w:t>[7]</w:t>
        </w:r>
      </w:hyperlink>
      <w:r>
        <w:t xml:space="preserve"> (Time)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https://canadiantechnologymagazine.com/ai-labs-agentic-systems-business-impact/</w:t>
        </w:r>
      </w:hyperlink>
      <w:r>
        <w:t xml:space="preserve"> - Please view link - unable to able to access data</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A Gartner report from June 2025 predicts that over 40% of agentic AI projects will be cancelled by 2027 due to high costs and unclear business outcomes. Despite this, Gartner forecasts that agentic AI will handle 15% of daily business decisions and feature in 33% of enterprise software by 2028, up from nearly zero in 2024.</w:t>
      </w:r>
      <w:r/>
    </w:p>
    <w:p>
      <w:pPr>
        <w:pStyle w:val="ListNumber"/>
        <w:spacing w:line="240" w:lineRule="auto"/>
        <w:ind w:left="720"/>
      </w:pPr>
      <w:r/>
      <w:hyperlink r:id="rId10">
        <w:r>
          <w:rPr>
            <w:color w:val="0000EE"/>
            <w:u w:val="single"/>
          </w:rPr>
          <w:t>https://www.reuters.com/technology/artificial-intelligence/amazons-aws-forms-new-group-focused-agentic-ai-2025-03-04/</w:t>
        </w:r>
      </w:hyperlink>
      <w:r>
        <w:t xml:space="preserve"> - In March 2025, Amazon Web Services (AWS) established a new group dedicated to agentic AI, aiming to automate users' lives further. Led by AWS executive Swami Sivasubramanian, the initiative focuses on proactive task performance without user prompts, with AWS CEO Matt Garman highlighting its potential as a multi-billion-dollar business driver.</w:t>
      </w:r>
      <w:r/>
    </w:p>
    <w:p>
      <w:pPr>
        <w:pStyle w:val="ListNumber"/>
        <w:spacing w:line="240" w:lineRule="auto"/>
        <w:ind w:left="720"/>
      </w:pPr>
      <w:r/>
      <w:hyperlink r:id="rId13">
        <w:r>
          <w:rPr>
            <w:color w:val="0000EE"/>
            <w:u w:val="single"/>
          </w:rPr>
          <w:t>https://www.techradar.com/computing/artificial-intelligence/love-and-hate-tech-pros-overwhelmingly-like-ai-agents-but-view-them-as-a-growing-security-risk</w:t>
        </w:r>
      </w:hyperlink>
      <w:r>
        <w:t xml:space="preserve"> - A recent SailPoint survey reveals that while 98% of enterprise security professionals plan to expand AI agent use, 96% view them as security threats due to limited visibility and control. Over 80% of companies report instances where AI agents acted beyond their intended scope, highlighting the need for stronger identity-first security models.</w:t>
      </w:r>
      <w:r/>
    </w:p>
    <w:p>
      <w:pPr>
        <w:pStyle w:val="ListNumber"/>
        <w:spacing w:line="240" w:lineRule="auto"/>
        <w:ind w:left="720"/>
      </w:pPr>
      <w:r/>
      <w:hyperlink r:id="rId14">
        <w:r>
          <w:rPr>
            <w:color w:val="0000EE"/>
            <w:u w:val="single"/>
          </w:rPr>
          <w:t>https://www.itpro.com/security/agentic-ai-poses-major-challenge-for-security-professionals-says-palo-alto-networks-emea-ciso</w:t>
        </w:r>
      </w:hyperlink>
      <w:r>
        <w:t xml:space="preserve"> - Haider Pasha, EMEA CISO at Palo Alto Networks, warns that agentic AI presents significant security challenges, predicting a higher failure rate than Gartner's 40% forecast by 2027. He attributes this to poor governance, lack of clear business objectives, and weak cybersecurity controls, emphasizing the need for robust identity management and security measures.</w:t>
      </w:r>
      <w:r/>
    </w:p>
    <w:p>
      <w:pPr>
        <w:pStyle w:val="ListNumber"/>
        <w:spacing w:line="240" w:lineRule="auto"/>
        <w:ind w:left="720"/>
      </w:pPr>
      <w:r/>
      <w:hyperlink r:id="rId11">
        <w:r>
          <w:rPr>
            <w:color w:val="0000EE"/>
            <w:u w:val="single"/>
          </w:rPr>
          <w:t>https://www.forbes.com/sites/garydrenik/2025/09/09/how-agentic-ai-is-shaping-business-value-for-enterprises/</w:t>
        </w:r>
      </w:hyperlink>
      <w:r>
        <w:t xml:space="preserve"> - This article discusses how agentic AI is reshaping business value by enabling real-time collaboration among distributed digital agents and embedded learning loops for ongoing improvement. Early enterprise implementations are delivering measurable returns, particularly in accelerating revenue growth, expanding margins with intelligent operations, and reducing operating costs.</w:t>
      </w:r>
      <w:r/>
    </w:p>
    <w:p>
      <w:pPr>
        <w:pStyle w:val="ListNumber"/>
        <w:spacing w:line="240" w:lineRule="auto"/>
        <w:ind w:left="720"/>
      </w:pPr>
      <w:r/>
      <w:hyperlink r:id="rId15">
        <w:r>
          <w:rPr>
            <w:color w:val="0000EE"/>
            <w:u w:val="single"/>
          </w:rPr>
          <w:t>https://time.com/7312641/agentic-ai-era-humans/</w:t>
        </w:r>
      </w:hyperlink>
      <w:r>
        <w:t xml:space="preserve"> - The article explores the transformative rise of AI agents in the 'Agentic Era,' where AI engages in cognitive work alongside humans. Businesses like Salesforce are reimagining operations, from customer service to supply chain, enhancing productivity and driving economic and social progress. It emphasizes the importance of designing AI systems ethically and inclusively.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diantechnologymagazine.com/ai-labs-agentic-systems-business-impact/" TargetMode="External"/><Relationship Id="rId10" Type="http://schemas.openxmlformats.org/officeDocument/2006/relationships/hyperlink" Target="https://www.reuters.com/technology/artificial-intelligence/amazons-aws-forms-new-group-focused-agentic-ai-2025-03-04/" TargetMode="External"/><Relationship Id="rId11" Type="http://schemas.openxmlformats.org/officeDocument/2006/relationships/hyperlink" Target="https://www.forbes.com/sites/garydrenik/2025/09/09/how-agentic-ai-is-shaping-business-value-for-enterprises/" TargetMode="External"/><Relationship Id="rId12" Type="http://schemas.openxmlformats.org/officeDocument/2006/relationships/hyperlink" Target="https://www.reuters.com/business/over-40-agentic-ai-projects-will-be-scrapped-by-2027-gartner-says-2025-06-25/" TargetMode="External"/><Relationship Id="rId13" Type="http://schemas.openxmlformats.org/officeDocument/2006/relationships/hyperlink" Target="https://www.techradar.com/computing/artificial-intelligence/love-and-hate-tech-pros-overwhelmingly-like-ai-agents-but-view-them-as-a-growing-security-risk" TargetMode="External"/><Relationship Id="rId14" Type="http://schemas.openxmlformats.org/officeDocument/2006/relationships/hyperlink" Target="https://www.itpro.com/security/agentic-ai-poses-major-challenge-for-security-professionals-says-palo-alto-networks-emea-ciso" TargetMode="External"/><Relationship Id="rId15" Type="http://schemas.openxmlformats.org/officeDocument/2006/relationships/hyperlink" Target="https://time.com/7312641/agentic-ai-era-huma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