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 generation emerges as a disruptive force in marketing and retail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日経BPの最新レポートが示したのは、消費トレンドの将来性で「α世代」が突出しているという動きだ。報告書によれば、2010年以降に生まれたこの世代は前回調査から将来性スコアが最も大きく伸び、マーケティングや消費分野で新たな潮流を生み出す存在として注目を集めている。 </w:t>
      </w:r>
      <w:hyperlink r:id="rId9">
        <w:r>
          <w:rPr>
            <w:color w:val="0000EE"/>
            <w:u w:val="single"/>
          </w:rPr>
          <w:t>[1]</w:t>
        </w:r>
      </w:hyperlink>
      <w:r>
        <w:t xml:space="preserve"> </w:t>
      </w:r>
      <w:hyperlink r:id="rId9">
        <w:r>
          <w:rPr>
            <w:color w:val="0000EE"/>
            <w:u w:val="single"/>
          </w:rPr>
          <w:t>[2]</w:t>
        </w:r>
      </w:hyperlink>
      <w:r/>
    </w:p>
    <w:p>
      <w:r/>
      <w:r>
        <w:t xml:space="preserve">α世代は、スマートフォンやSNSが当たり前の環境で育ちながらも、従来の世代とは異なるデジタル接触の仕方を示すという。報告書は「スマートフォンやSNSへの依存度が低い」「AIからの情報を信用する」といった特徴を挙げ、通信ゲーム機やタブレットなど複数デバイスを目的に応じて使い分けるマルチデバイス志向や、デジタル体験を空気のように受け入れる姿勢を指摘している。 </w:t>
      </w:r>
      <w:hyperlink r:id="rId9">
        <w:r>
          <w:rPr>
            <w:color w:val="0000EE"/>
            <w:u w:val="single"/>
          </w:rPr>
          <w:t>[1]</w:t>
        </w:r>
      </w:hyperlink>
      <w:r>
        <w:t xml:space="preserve"> </w:t>
      </w:r>
      <w:hyperlink r:id="rId9">
        <w:r>
          <w:rPr>
            <w:color w:val="0000EE"/>
            <w:u w:val="single"/>
          </w:rPr>
          <w:t>[2]</w:t>
        </w:r>
      </w:hyperlink>
      <w:r/>
    </w:p>
    <w:p>
      <w:r/>
      <w:r>
        <w:t xml:space="preserve">今回のランキングは、日経クロストレンド編集部による95のキーワードの「将来性」と「現時点での経済インパクト」をスコア化し、前回調査との増減幅から注目トレンドを抽出したものだと報告書は説明している。調査は将来性スコアの伸びを重視し、相対的な変化を基にランキングを構成しているという。 </w:t>
      </w:r>
      <w:hyperlink r:id="rId9">
        <w:r>
          <w:rPr>
            <w:color w:val="0000EE"/>
            <w:u w:val="single"/>
          </w:rPr>
          <w:t>[1]</w:t>
        </w:r>
      </w:hyperlink>
      <w:r/>
    </w:p>
    <w:p>
      <w:r/>
      <w:r>
        <w:t xml:space="preserve">領域別では、マーケティング分野の将来性伸長トップに「AIエージェント」が挙がり、テクノロジー分野では「空飛ぶクルマ（VTOL）」が上位に位置づけられた。報告書は、生成AIの進化を背景にAIエージェントが人間の意図を理解し外部サービスへのアクセスや作業支援を行う能力が評価されたと説明している。VTOLは技術革新の象徴的キーワードとして取り上げられた。 </w:t>
      </w:r>
      <w:hyperlink r:id="rId9">
        <w:r>
          <w:rPr>
            <w:color w:val="0000EE"/>
            <w:u w:val="single"/>
          </w:rPr>
          <w:t>[1]</w:t>
        </w:r>
      </w:hyperlink>
      <w:r/>
    </w:p>
    <w:p>
      <w:r/>
      <w:r>
        <w:t xml:space="preserve">一方、経済インパクトの伸びでジャンル別1位となったのはマーケティング分野の「リテールメディア」だ。報告書は、小売チェーンがアプリや店内デジタルサイネージをメディア化して広告収益に結び付ける動きが国内で拡大している点を評価している。業界側でもリテールメディアの市場拡大を巡る議論は活発で、10月に開催された「Retail Media Summit 2025」には多数のセッションと企業スポンサーが参画し、領域の成熟と商業的ポテンシャルが改めて示された。主催側は同会合のプログラム構成とスポンサー陣容を通じて、リテールメディアの価値と導入拡大を強調している。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報告書を踏まえれば、α世代の台頭は単なる消費者層の移行に留まらず、マーケティング手法や商品設計、流通の前提そのものを変える可能性がある。AIネイティブな志向とマルチデバイス利用、そしてリテールメディアのような小売側のデジタル化が交差する点で、新たなサービスや広告モデルが生まれやすいとの見方が示されている。業界関係者は、これらの変化を取り込むためのデータ戦略と顧客体験設計が今後の競争力を左右すると指摘している。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p>
    <w:p>
      <w:r/>
      <w:r>
        <w:t xml:space="preserve">消費市場の次の成長領域を見定めるうえでは、α世代の価値観と行動様式を丁寧に捉えることが重要だと報告書は結論付ける。将来性スコアの動きは、企業が若年層の「当たり前」を理解し、それに沿った技術・サービスを迅速に試作・導入することの必要性を示している。 </w:t>
      </w:r>
      <w:hyperlink r:id="rId9">
        <w:r>
          <w:rPr>
            <w:color w:val="0000EE"/>
            <w:u w:val="single"/>
          </w:rPr>
          <w:t>[1]</w:t>
        </w:r>
      </w:hyperlink>
      <w:r>
        <w:t xml:space="preserve"> </w:t>
      </w:r>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(ASCII.jp / Nikkei BP report) - Paragraph 1, Paragraph 2, Paragraph 3, Paragraph 4, Paragraph 5, Paragraph 6, Paragraph 7 </w:t>
      </w:r>
      <w:r/>
    </w:p>
    <w:p>
      <w:pPr>
        <w:pStyle w:val="ListBullet"/>
        <w:spacing w:line="240" w:lineRule="auto"/>
        <w:ind w:left="720"/>
      </w:pPr>
      <w:r/>
      <w:hyperlink r:id="rId9">
        <w:r>
          <w:rPr>
            <w:color w:val="0000EE"/>
            <w:u w:val="single"/>
          </w:rPr>
          <w:t>[2]</w:t>
        </w:r>
      </w:hyperlink>
      <w:r>
        <w:t xml:space="preserve"> (ASCII.jp summary) - Paragraph 1, Paragraph 2, Paragraph 6, Paragraph 7 </w:t>
      </w:r>
      <w:r/>
    </w:p>
    <w:p>
      <w:pPr>
        <w:pStyle w:val="ListBullet"/>
        <w:spacing w:line="240" w:lineRule="auto"/>
        <w:ind w:left="720"/>
      </w:pPr>
      <w:r/>
      <w:hyperlink r:id="rId10">
        <w:r>
          <w:rPr>
            <w:color w:val="0000EE"/>
            <w:u w:val="single"/>
          </w:rPr>
          <w:t>[3]</w:t>
        </w:r>
      </w:hyperlink>
      <w:r>
        <w:t xml:space="preserve"> (Adinte , Retail Media Summit 2025 release) - Paragraph 5, Paragraph 6 </w:t>
      </w:r>
      <w:r/>
    </w:p>
    <w:p>
      <w:pPr>
        <w:pStyle w:val="ListBullet"/>
        <w:spacing w:line="240" w:lineRule="auto"/>
        <w:ind w:left="720"/>
      </w:pPr>
      <w:r/>
      <w:hyperlink r:id="rId11">
        <w:r>
          <w:rPr>
            <w:color w:val="0000EE"/>
            <w:u w:val="single"/>
          </w:rPr>
          <w:t>[4]</w:t>
        </w:r>
      </w:hyperlink>
      <w:r>
        <w:t xml:space="preserve"> (PR Times , Retail Media Summit 2025 announcement) - Paragraph 5 </w:t>
      </w:r>
      <w:r/>
    </w:p>
    <w:p>
      <w:pPr>
        <w:pStyle w:val="ListBullet"/>
        <w:spacing w:line="240" w:lineRule="auto"/>
        <w:ind w:left="720"/>
      </w:pPr>
      <w:r/>
      <w:hyperlink r:id="rId12">
        <w:r>
          <w:rPr>
            <w:color w:val="0000EE"/>
            <w:u w:val="single"/>
          </w:rPr>
          <w:t>[5]</w:t>
        </w:r>
      </w:hyperlink>
      <w:r>
        <w:t xml:space="preserve"> (Adinte , sponsor invitation) - Paragraph 5 </w:t>
      </w:r>
      <w:r/>
    </w:p>
    <w:p>
      <w:pPr>
        <w:pStyle w:val="ListBullet"/>
        <w:spacing w:line="240" w:lineRule="auto"/>
        <w:ind w:left="720"/>
      </w:pPr>
      <w:r/>
      <w:hyperlink r:id="rId13">
        <w:r>
          <w:rPr>
            <w:color w:val="0000EE"/>
            <w:u w:val="single"/>
          </w:rPr>
          <w:t>[6]</w:t>
        </w:r>
      </w:hyperlink>
      <w:r>
        <w:t xml:space="preserve"> (Adinte , CyberAgent sponsorship) - Paragraph 5 </w:t>
      </w:r>
      <w:r/>
    </w:p>
    <w:p>
      <w:pPr>
        <w:pStyle w:val="ListBullet"/>
        <w:spacing w:line="240" w:lineRule="auto"/>
        <w:ind w:left="720"/>
      </w:pPr>
      <w:r/>
      <w:hyperlink r:id="rId14">
        <w:r>
          <w:rPr>
            <w:color w:val="0000EE"/>
            <w:u w:val="single"/>
          </w:rPr>
          <w:t>[7]</w:t>
        </w:r>
      </w:hyperlink>
      <w:r>
        <w:t xml:space="preserve"> (Adinte , Transmedia GP sponsorship)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https://ascii.jp/elem/000/004/359/4359820/?rss</w:t>
        </w:r>
      </w:hyperlink>
      <w:r>
        <w:t xml:space="preserve"> - Please view link - unable to able to access data</w:t>
      </w:r>
      <w:r/>
    </w:p>
    <w:p>
      <w:pPr>
        <w:pStyle w:val="ListNumber"/>
        <w:spacing w:line="240" w:lineRule="auto"/>
        <w:ind w:left="720"/>
      </w:pPr>
      <w:r/>
      <w:hyperlink r:id="rId9">
        <w:r>
          <w:rPr>
            <w:color w:val="0000EE"/>
            <w:u w:val="single"/>
          </w:rPr>
          <w:t>https://ascii.jp/elem/000/004/359/4359820/?rss</w:t>
        </w:r>
      </w:hyperlink>
      <w:r>
        <w:t xml:space="preserve"> - An article discussing the emergence of the 'Alpha Generation' (born after 2010) and their unique characteristics, such as low dependence on smartphones and social media, and a high trust in AI-generated information. It highlights their seamless integration with digital technologies and the potential for innovative services tailored to their values and behaviours.</w:t>
      </w:r>
      <w:r/>
    </w:p>
    <w:p>
      <w:pPr>
        <w:pStyle w:val="ListNumber"/>
        <w:spacing w:line="240" w:lineRule="auto"/>
        <w:ind w:left="720"/>
      </w:pPr>
      <w:r/>
      <w:hyperlink r:id="rId10">
        <w:r>
          <w:rPr>
            <w:color w:val="0000EE"/>
            <w:u w:val="single"/>
          </w:rPr>
          <w:t>https://adinte.co.jp/release/12475/</w:t>
        </w:r>
      </w:hyperlink>
      <w:r>
        <w:t xml:space="preserve"> - A press release announcing the 'Retail Media Summit 2025', scheduled for October 8-9, 2025. The event aims to showcase the evolution and market expansion of retail media, featuring 38 sessions with industry leaders to discuss the latest trends and developments in the field.</w:t>
      </w:r>
      <w:r/>
    </w:p>
    <w:p>
      <w:pPr>
        <w:pStyle w:val="ListNumber"/>
        <w:spacing w:line="240" w:lineRule="auto"/>
        <w:ind w:left="720"/>
      </w:pPr>
      <w:r/>
      <w:hyperlink r:id="rId11">
        <w:r>
          <w:rPr>
            <w:color w:val="0000EE"/>
            <w:u w:val="single"/>
          </w:rPr>
          <w:t>https://prtimes.jp/main/html/rd/p/000000167.000007452.html</w:t>
        </w:r>
      </w:hyperlink>
      <w:r>
        <w:t xml:space="preserve"> - An announcement about the 'Retail Media Summit 2025', set for October 8-9, 2025. The conference focuses on the advancement and market growth of retail media, bringing together key industry figures to highlight its value and potential.</w:t>
      </w:r>
      <w:r/>
    </w:p>
    <w:p>
      <w:pPr>
        <w:pStyle w:val="ListNumber"/>
        <w:spacing w:line="240" w:lineRule="auto"/>
        <w:ind w:left="720"/>
      </w:pPr>
      <w:r/>
      <w:hyperlink r:id="rId12">
        <w:r>
          <w:rPr>
            <w:color w:val="0000EE"/>
            <w:u w:val="single"/>
          </w:rPr>
          <w:t>https://adinte.co.jp/release/11463/</w:t>
        </w:r>
      </w:hyperlink>
      <w:r>
        <w:t xml:space="preserve"> - A press release inviting companies to sponsor the 'Retail Media Summit 2025', taking place on October 8-9, 2025. The event aims to bring together industry leaders to discuss the latest trends and developments in retail media.</w:t>
      </w:r>
      <w:r/>
    </w:p>
    <w:p>
      <w:pPr>
        <w:pStyle w:val="ListNumber"/>
        <w:spacing w:line="240" w:lineRule="auto"/>
        <w:ind w:left="720"/>
      </w:pPr>
      <w:r/>
      <w:hyperlink r:id="rId13">
        <w:r>
          <w:rPr>
            <w:color w:val="0000EE"/>
            <w:u w:val="single"/>
          </w:rPr>
          <w:t>https://adinte.co.jp/release/11786/</w:t>
        </w:r>
      </w:hyperlink>
      <w:r>
        <w:t xml:space="preserve"> - An announcement confirming 'CyberAgent Inc.' as the gold sponsor for the 'Retail Media Summit 2025', scheduled for October 8-9, 2025. This marks the second consecutive year of their sponsorship, highlighting the event's growing significance in the industry.</w:t>
      </w:r>
      <w:r/>
    </w:p>
    <w:p>
      <w:pPr>
        <w:pStyle w:val="ListNumber"/>
        <w:spacing w:line="240" w:lineRule="auto"/>
        <w:ind w:left="720"/>
      </w:pPr>
      <w:r/>
      <w:hyperlink r:id="rId14">
        <w:r>
          <w:rPr>
            <w:color w:val="0000EE"/>
            <w:u w:val="single"/>
          </w:rPr>
          <w:t>https://adinte.co.jp/release/12098/</w:t>
        </w:r>
      </w:hyperlink>
      <w:r>
        <w:t xml:space="preserve"> - A press release announcing 'Transmedia GP Inc.' as the silver sponsor for the 'Retail Media Summit 2025', set for October 8-9, 2025. The company has extensive experience in app development and operation across various industries, including retail and food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cii.jp/elem/000/004/359/4359820/?rss" TargetMode="External"/><Relationship Id="rId10" Type="http://schemas.openxmlformats.org/officeDocument/2006/relationships/hyperlink" Target="https://adinte.co.jp/release/12475/" TargetMode="External"/><Relationship Id="rId11" Type="http://schemas.openxmlformats.org/officeDocument/2006/relationships/hyperlink" Target="https://prtimes.jp/main/html/rd/p/000000167.000007452.html" TargetMode="External"/><Relationship Id="rId12" Type="http://schemas.openxmlformats.org/officeDocument/2006/relationships/hyperlink" Target="https://adinte.co.jp/release/11463/" TargetMode="External"/><Relationship Id="rId13" Type="http://schemas.openxmlformats.org/officeDocument/2006/relationships/hyperlink" Target="https://adinte.co.jp/release/11786/" TargetMode="External"/><Relationship Id="rId14" Type="http://schemas.openxmlformats.org/officeDocument/2006/relationships/hyperlink" Target="https://adinte.co.jp/release/1209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