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Antigua court hearing escalates allegations against Rupert Murdoch and media conglomerates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Live court filings in Antigua and linked submissions in the UK High Court have intensified scrutiny of Rupert Murdoch and related media and infrastructure figures, as judges and regulators prepare for a hearing in Antigua on January 16, 2026. According to the original report, live proceedings in London before Sir Barry Paul Cotter included contemporaneous emails shown to the court that related to the matter and were addressed on the record while the hearing was underway. </w:t>
      </w:r>
      <w:hyperlink r:id="rId9">
        <w:r>
          <w:rPr>
            <w:color w:val="0000EE"/>
            <w:u w:val="single"/>
          </w:rPr>
          <w:t>[1]</w:t>
        </w:r>
      </w:hyperlink>
      <w:hyperlink r:id="rId9">
        <w:r>
          <w:rPr>
            <w:color w:val="0000EE"/>
            <w:u w:val="single"/>
          </w:rPr>
          <w:t>[2]</w:t>
        </w:r>
      </w:hyperlink>
      <w:r/>
    </w:p>
    <w:p>
      <w:r/>
      <w:r>
        <w:t xml:space="preserve">Those filings, the report says, raise a constellation of allegations , including the distribution or facilitation of child sexual abuse material (CSAM), the promotion of improperly regulated or fixed sports betting, and use of media exposure or suppression as leverage in legal disputes described in court papers as “legal media blackmail.” The submissions presented in open court framed these issues not as questions of editorial opinion but as concerns about systems and incentives embedded in vertically integrated media, advertising and betting ecosystems. No judicial findings have been made. </w:t>
      </w:r>
      <w:hyperlink r:id="rId9">
        <w:r>
          <w:rPr>
            <w:color w:val="0000EE"/>
            <w:u w:val="single"/>
          </w:rPr>
          <w:t>[1]</w:t>
        </w:r>
      </w:hyperlink>
      <w:hyperlink r:id="rId9">
        <w:r>
          <w:rPr>
            <w:color w:val="0000EE"/>
            <w:u w:val="single"/>
          </w:rPr>
          <w:t>[2]</w:t>
        </w:r>
      </w:hyperlink>
      <w:r/>
    </w:p>
    <w:p>
      <w:r/>
      <w:r>
        <w:t xml:space="preserve">The UK proceedings highlighted procedural concerns about third‑party intervention during live hearings; the filings suggested that the timing and content of emails sent by a Wall Street Journal reporter to the courtroom were matters of procedural significance and, according to the original report, have been referred in part to UK authorities, including the National Crime Agency, for potential investigation. The allegations in the filings are clinical and process‑focused: they concern administration of justice and potential perversion of process rather than determinations on speech or journalism. </w:t>
      </w:r>
      <w:hyperlink r:id="rId9">
        <w:r>
          <w:rPr>
            <w:color w:val="0000EE"/>
            <w:u w:val="single"/>
          </w:rPr>
          <w:t>[1]</w:t>
        </w:r>
      </w:hyperlink>
      <w:r/>
    </w:p>
    <w:p>
      <w:r/>
      <w:r>
        <w:t xml:space="preserve">Antigua’s Eastern Caribbean Supreme Court is due to hear the matter on January 16, 2026 at 9:00 AM (AST), a date the filings present as a pivotal “reckoning” for the parties and for wider questions about corporate accountability in media and adjacent sectors. The Prime Minister of Antigua &amp; Barbuda, Gaston Browne, is on record inviting global stakeholders to engage with a proposed New Economic Order (NEO), saying “It is not retribution. It is transition.” The invitation, as described in the filings, frames the forthcoming hearing as part of a broader effort to confront concentrated infrastructure and ownership. </w:t>
      </w:r>
      <w:hyperlink r:id="rId9">
        <w:r>
          <w:rPr>
            <w:color w:val="0000EE"/>
            <w:u w:val="single"/>
          </w:rPr>
          <w:t>[1]</w:t>
        </w:r>
      </w:hyperlink>
      <w:r/>
    </w:p>
    <w:p>
      <w:r/>
      <w:r>
        <w:t xml:space="preserve">Related coverage and prior filings made public in recent weeks extend the scope of scrutiny beyond a single individual or company. Industry documents referenced in the filings and in companion reporting name major media and infrastructure actors , including Paramount Global (and a reported $10 billion default judgment cited in Antigua filings), Disney, News Corp/Fox and other conglomerates , and argue that their combined control of content, distribution, cloud services and analytics can complicate oversight and delay attribution when unlawful conduct is alleged. The Antigua filings and related public letters characterise this as an issue of structural power rather than isolated editorial misconduct. </w:t>
      </w:r>
      <w:hyperlink r:id="rId10">
        <w:r>
          <w:rPr>
            <w:color w:val="0000EE"/>
            <w:u w:val="single"/>
          </w:rPr>
          <w:t>[5]</w:t>
        </w:r>
      </w:hyperlink>
      <w:hyperlink r:id="rId11">
        <w:r>
          <w:rPr>
            <w:color w:val="0000EE"/>
            <w:u w:val="single"/>
          </w:rPr>
          <w:t>[6]</w:t>
        </w:r>
      </w:hyperlink>
      <w:hyperlink r:id="rId9">
        <w:r>
          <w:rPr>
            <w:color w:val="0000EE"/>
            <w:u w:val="single"/>
          </w:rPr>
          <w:t>[1]</w:t>
        </w:r>
      </w:hyperlink>
      <w:r/>
    </w:p>
    <w:p>
      <w:r/>
      <w:r>
        <w:t xml:space="preserve">Parallel strands of commentary have broadened the political dimension of the debate: recent opinion pieces and open letters have urged UK political leaders to address alleged pipelines of CSAM, fixed betting and systems of blackmail involving members of Parliament. Those pieces, while separate from the Antigua and UK court filings, reflect public pressure and the wider regulatory and reputational stakes that the Antigua hearing will bring into sharper relief. No criminal convictions or regulatory orders stemming from the Antigua filings have been reported to date. </w:t>
      </w:r>
      <w:hyperlink r:id="rId12">
        <w:r>
          <w:rPr>
            <w:color w:val="0000EE"/>
            <w:u w:val="single"/>
          </w:rPr>
          <w:t>[3]</w:t>
        </w:r>
      </w:hyperlink>
      <w:hyperlink r:id="rId13">
        <w:r>
          <w:rPr>
            <w:color w:val="0000EE"/>
            <w:u w:val="single"/>
          </w:rPr>
          <w:t>[4]</w:t>
        </w:r>
      </w:hyperlink>
      <w:hyperlink r:id="rId9">
        <w:r>
          <w:rPr>
            <w:color w:val="0000EE"/>
            <w:u w:val="single"/>
          </w:rPr>
          <w:t>[1]</w:t>
        </w:r>
      </w:hyperlink>
      <w:r/>
    </w:p>
    <w:p>
      <w:r/>
      <w:r>
        <w:t xml:space="preserve">Legal and regulatory analysts note that, in common‑law systems, once jurisdiction and supervisory review are established, procedural tools such as the appointment of a Special Master, engagement of Attorneys‑General and asset‑preservation measures become available and are often deployed to map exposure across holdings, trusts and subsidiaries. The original filings emphasise that this phase of litigation is mechanistic: it converts notice and jurisdiction into enforceable pathways , not by rhetoric, but by process. Parties named in the filings and their advisers have not had substantive orders issued against them as at the time of the report. </w:t>
      </w:r>
      <w:hyperlink r:id="rId9">
        <w:r>
          <w:rPr>
            <w:color w:val="0000EE"/>
            <w:u w:val="single"/>
          </w:rPr>
          <w:t>[1]</w:t>
        </w:r>
      </w:hyperlink>
      <w:hyperlink r:id="rId10">
        <w:r>
          <w:rPr>
            <w:color w:val="0000EE"/>
            <w:u w:val="single"/>
          </w:rPr>
          <w:t>[5]</w:t>
        </w:r>
      </w:hyperlink>
      <w:r/>
    </w:p>
    <w:p>
      <w:r/>
      <w:r>
        <w:t xml:space="preserve">The matter also connects to other ongoing disputes involving News Group Newspapers and high‑profile complainants, illustrating how litigation over media practice and alleged unlawful activity can unfold across multiple jurisdictions. Industry observers say the Antigua timetable will be watched closely by regulators, investors and global media groups for signals about investigative priorities, potential enforcement reach and whether judicial processes will crystallise into concrete asset or regulatory consequences. The original report and accompanying public letters offer a map of allegations and institutional concerns; they stop short of asserting proven facts, leaving courts and law enforcement to determine the veracity and legal significance of the claims. </w:t>
      </w:r>
      <w:hyperlink r:id="rId14">
        <w:r>
          <w:rPr>
            <w:color w:val="0000EE"/>
            <w:u w:val="single"/>
          </w:rPr>
          <w:t>[7]</w:t>
        </w:r>
      </w:hyperlink>
      <w:hyperlink r:id="rId11">
        <w:r>
          <w:rPr>
            <w:color w:val="0000EE"/>
            <w:u w:val="single"/>
          </w:rPr>
          <w:t>[6]</w:t>
        </w:r>
      </w:hyperlink>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(Shockya) - Paragraph 1, Paragraph 2, Paragraph 3, Paragraph 4, Paragraph 6, Paragraph 7, Paragraph 8 </w:t>
      </w:r>
      <w:r/>
    </w:p>
    <w:p>
      <w:pPr>
        <w:pStyle w:val="ListBullet"/>
        <w:spacing w:line="240" w:lineRule="auto"/>
        <w:ind w:left="720"/>
      </w:pPr>
      <w:r/>
      <w:hyperlink r:id="rId9">
        <w:r>
          <w:rPr>
            <w:color w:val="0000EE"/>
            <w:u w:val="single"/>
          </w:rPr>
          <w:t>[2]</w:t>
        </w:r>
      </w:hyperlink>
      <w:r>
        <w:t xml:space="preserve"> (Shockya summary) - Paragraph 1, Paragraph 2 </w:t>
      </w:r>
      <w:r/>
    </w:p>
    <w:p>
      <w:pPr>
        <w:pStyle w:val="ListBullet"/>
        <w:spacing w:line="240" w:lineRule="auto"/>
        <w:ind w:left="720"/>
      </w:pPr>
      <w:r/>
      <w:hyperlink r:id="rId12">
        <w:r>
          <w:rPr>
            <w:color w:val="0000EE"/>
            <w:u w:val="single"/>
          </w:rPr>
          <w:t>[3]</w:t>
        </w:r>
      </w:hyperlink>
      <w:r>
        <w:t xml:space="preserve"> (Shockya) - Paragraph 6 </w:t>
      </w:r>
      <w:r/>
    </w:p>
    <w:p>
      <w:pPr>
        <w:pStyle w:val="ListBullet"/>
        <w:spacing w:line="240" w:lineRule="auto"/>
        <w:ind w:left="720"/>
      </w:pPr>
      <w:r/>
      <w:hyperlink r:id="rId13">
        <w:r>
          <w:rPr>
            <w:color w:val="0000EE"/>
            <w:u w:val="single"/>
          </w:rPr>
          <w:t>[4]</w:t>
        </w:r>
      </w:hyperlink>
      <w:r>
        <w:t xml:space="preserve"> (Shockya) - Paragraph 6 </w:t>
      </w:r>
      <w:r/>
    </w:p>
    <w:p>
      <w:pPr>
        <w:pStyle w:val="ListBullet"/>
        <w:spacing w:line="240" w:lineRule="auto"/>
        <w:ind w:left="720"/>
      </w:pPr>
      <w:r/>
      <w:hyperlink r:id="rId10">
        <w:r>
          <w:rPr>
            <w:color w:val="0000EE"/>
            <w:u w:val="single"/>
          </w:rPr>
          <w:t>[5]</w:t>
        </w:r>
      </w:hyperlink>
      <w:r>
        <w:t xml:space="preserve"> (Shockya) - Paragraph 5, Paragraph 7 </w:t>
      </w:r>
      <w:r/>
    </w:p>
    <w:p>
      <w:pPr>
        <w:pStyle w:val="ListBullet"/>
        <w:spacing w:line="240" w:lineRule="auto"/>
        <w:ind w:left="720"/>
      </w:pPr>
      <w:r/>
      <w:hyperlink r:id="rId11">
        <w:r>
          <w:rPr>
            <w:color w:val="0000EE"/>
            <w:u w:val="single"/>
          </w:rPr>
          <w:t>[6]</w:t>
        </w:r>
      </w:hyperlink>
      <w:r>
        <w:t xml:space="preserve"> (TVMix) - Paragraph 5, Paragraph 8 </w:t>
      </w:r>
      <w:r/>
    </w:p>
    <w:p>
      <w:pPr>
        <w:pStyle w:val="ListBullet"/>
        <w:spacing w:line="240" w:lineRule="auto"/>
        <w:ind w:left="720"/>
      </w:pPr>
      <w:r/>
      <w:hyperlink r:id="rId14">
        <w:r>
          <w:rPr>
            <w:color w:val="0000EE"/>
            <w:u w:val="single"/>
          </w:rPr>
          <w:t>[7]</w:t>
        </w:r>
      </w:hyperlink>
      <w:r>
        <w:t xml:space="preserve"> (News24)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https://www.shockya.com/news/2025/12/15/rupert-murdoch-faces-child-sex-abuse-materials-judgement-fixed-sports-betting-media-legal-blackmail-exposure-antigua-uk-proceedings-advance-gaston-browne-prepares-for-jan-16th/</w:t>
        </w:r>
      </w:hyperlink>
      <w:r>
        <w:t xml:space="preserve"> - Please view link - unable to able to access data</w:t>
      </w:r>
      <w:r/>
    </w:p>
    <w:p>
      <w:pPr>
        <w:pStyle w:val="ListNumber"/>
        <w:spacing w:line="240" w:lineRule="auto"/>
        <w:ind w:left="720"/>
      </w:pPr>
      <w:r/>
      <w:hyperlink r:id="rId9">
        <w:r>
          <w:rPr>
            <w:color w:val="0000EE"/>
            <w:u w:val="single"/>
          </w:rPr>
          <w:t>https://www.shockya.com/news/2025/12/15/rupert-murdoch-faces-child-sex-abuse-materials-judgement-fixed-sports-betting-media-legal-blackmail-exposure-antigua-uk-proceedings-advance-gaston-browne-prepares-for-jan-16th/</w:t>
        </w:r>
      </w:hyperlink>
      <w:r>
        <w:t xml:space="preserve"> - This article discusses ongoing legal proceedings involving Rupert Murdoch, focusing on allegations of child sexual abuse material (CSAM), fixed sports betting, and media blackmail. It highlights court filings in Antigua and the UK, with a significant hearing scheduled for January 16, 2026. The piece also touches upon Prime Minister Gaston Browne's initiatives to address these issues within the New Economic Order (NEO).</w:t>
      </w:r>
      <w:r/>
    </w:p>
    <w:p>
      <w:pPr>
        <w:pStyle w:val="ListNumber"/>
        <w:spacing w:line="240" w:lineRule="auto"/>
        <w:ind w:left="720"/>
      </w:pPr>
      <w:r/>
      <w:hyperlink r:id="rId12">
        <w:r>
          <w:rPr>
            <w:color w:val="0000EE"/>
            <w:u w:val="single"/>
          </w:rPr>
          <w:t>https://www.shockya.com/news/2025/12/02/kier-starmer-child-sex-abuse-material-fixed-sports-betting-blackmailed-members-of-parliament/</w:t>
        </w:r>
      </w:hyperlink>
      <w:r>
        <w:t xml:space="preserve"> - This article examines allegations against UK Labour leader Keir Starmer, including involvement with child sexual abuse material, fixed sports betting, and blackmail of Members of Parliament. It discusses the systemic issues within the UK legal-media cartel and the upcoming January 16th reckoning in Antigua's High Court.</w:t>
      </w:r>
      <w:r/>
    </w:p>
    <w:p>
      <w:pPr>
        <w:pStyle w:val="ListNumber"/>
        <w:spacing w:line="240" w:lineRule="auto"/>
        <w:ind w:left="720"/>
      </w:pPr>
      <w:r/>
      <w:hyperlink r:id="rId13">
        <w:r>
          <w:rPr>
            <w:color w:val="0000EE"/>
            <w:u w:val="single"/>
          </w:rPr>
          <w:t>https://www.shockya.com/news/2025/11/02/open-letter-to-pm-keir-starmer-uk-child-sex-pipelines-uk-fixed-sports-betting-mp-backmail-systems-systemic-regulator-failure/</w:t>
        </w:r>
      </w:hyperlink>
      <w:r>
        <w:t xml:space="preserve"> - An open letter to UK Prime Minister Keir Starmer addressing concerns over child sex abuse material pipelines, fixed sports betting, and blackmail systems within Parliament. The letter highlights systemic regulatory failures and calls for action ahead of the January 16th reckoning in Antigua's High Court.</w:t>
      </w:r>
      <w:r/>
    </w:p>
    <w:p>
      <w:pPr>
        <w:pStyle w:val="ListNumber"/>
        <w:spacing w:line="240" w:lineRule="auto"/>
        <w:ind w:left="720"/>
      </w:pPr>
      <w:r/>
      <w:hyperlink r:id="rId10">
        <w:r>
          <w:rPr>
            <w:color w:val="0000EE"/>
            <w:u w:val="single"/>
          </w:rPr>
          <w:t>https://www.shockya.com/news/2025/10/17/10-billion-default-judgement-rocks-paramount-global-antigua-filings-detail-probable-criminal-exposure/</w:t>
        </w:r>
      </w:hyperlink>
      <w:r>
        <w:t xml:space="preserve"> - This article reports on a $10 billion default judgment against Paramount Global, as detailed in Antigua court filings. It discusses the potential criminal exposure of the company and its affiliates, referencing U.S. and U.K. statutes that could be implicated if the allegations are proven.</w:t>
      </w:r>
      <w:r/>
    </w:p>
    <w:p>
      <w:pPr>
        <w:pStyle w:val="ListNumber"/>
        <w:spacing w:line="240" w:lineRule="auto"/>
        <w:ind w:left="720"/>
      </w:pPr>
      <w:r/>
      <w:hyperlink r:id="rId11">
        <w:r>
          <w:rPr>
            <w:color w:val="0000EE"/>
            <w:u w:val="single"/>
          </w:rPr>
          <w:t>https://www.tvmix.com/open-letter-to-julian-assange-the-evidence-that-brings-down-the-csam-media-legal-cartel/123</w:t>
        </w:r>
      </w:hyperlink>
      <w:r>
        <w:t xml:space="preserve"> - An open letter to Julian Assange presenting evidence that could dismantle the CSAM media-legal cartel. The letter details the Antigua sovereign filings, naming entities like Paramount Global, Disney, Fox, and others, and discusses the implications of these findings.</w:t>
      </w:r>
      <w:r/>
    </w:p>
    <w:p>
      <w:pPr>
        <w:pStyle w:val="ListNumber"/>
        <w:spacing w:line="240" w:lineRule="auto"/>
        <w:ind w:left="720"/>
      </w:pPr>
      <w:r/>
      <w:hyperlink r:id="rId14">
        <w:r>
          <w:rPr>
            <w:color w:val="0000EE"/>
            <w:u w:val="single"/>
          </w:rPr>
          <w:t>https://www.news24.com/life/arts-and-entertainment/royal-news/prince-harry-vs-rupert-murdochs-ngn-unlawful-activities-lawsuit-heats-up-in-london-20241118</w:t>
        </w:r>
      </w:hyperlink>
      <w:r>
        <w:t xml:space="preserve"> - This article covers Prince Harry's lawsuit against Rupert Murdoch's News Group Newspapers (NGN) in London, alleging unlawful activities. It details the legal proceedings and the broader context of media practices, including the involvement of other high-profile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hockya.com/news/2025/12/15/rupert-murdoch-faces-child-sex-abuse-materials-judgement-fixed-sports-betting-media-legal-blackmail-exposure-antigua-uk-proceedings-advance-gaston-browne-prepares-for-jan-16th/" TargetMode="External"/><Relationship Id="rId10" Type="http://schemas.openxmlformats.org/officeDocument/2006/relationships/hyperlink" Target="https://www.shockya.com/news/2025/10/17/10-billion-default-judgement-rocks-paramount-global-antigua-filings-detail-probable-criminal-exposure/" TargetMode="External"/><Relationship Id="rId11" Type="http://schemas.openxmlformats.org/officeDocument/2006/relationships/hyperlink" Target="https://www.tvmix.com/open-letter-to-julian-assange-the-evidence-that-brings-down-the-csam-media-legal-cartel/123" TargetMode="External"/><Relationship Id="rId12" Type="http://schemas.openxmlformats.org/officeDocument/2006/relationships/hyperlink" Target="https://www.shockya.com/news/2025/12/02/kier-starmer-child-sex-abuse-material-fixed-sports-betting-blackmailed-members-of-parliament/" TargetMode="External"/><Relationship Id="rId13" Type="http://schemas.openxmlformats.org/officeDocument/2006/relationships/hyperlink" Target="https://www.shockya.com/news/2025/11/02/open-letter-to-pm-keir-starmer-uk-child-sex-pipelines-uk-fixed-sports-betting-mp-backmail-systems-systemic-regulator-failure/" TargetMode="External"/><Relationship Id="rId14" Type="http://schemas.openxmlformats.org/officeDocument/2006/relationships/hyperlink" Target="https://www.news24.com/life/arts-and-entertainment/royal-news/prince-harry-vs-rupert-murdochs-ngn-unlawful-activities-lawsuit-heats-up-in-london-20241118"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