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CEOs double down on AI investment despite lingering hurdles and slow returns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CEOs are pressing ahead with artificial intelligence as a strategic imperative even as measurable, enterprise‑wide returns remain elusive, creating a tension between continued spending and slower‑than‑expected payoff. According to the original report, most senior executives expect AI budgets to keep rising through 2026, treating the technology as a capability that must be built rather than a short‑term project that can be paused if early results disappoint. </w:t>
      </w:r>
      <w:hyperlink r:id="rId9">
        <w:r>
          <w:rPr>
            <w:color w:val="0000EE"/>
            <w:u w:val="single"/>
          </w:rPr>
          <w:t>[1]</w:t>
        </w:r>
      </w:hyperlink>
      <w:r/>
    </w:p>
    <w:p>
      <w:r/>
      <w:r>
        <w:t xml:space="preserve">That ongoing spend is driven by competitive pressure, board expectations and fear of falling behind, yet executives concede gains are often confined to pockets of the business. The Wall Street Journal and Reuters reporting noted that pilots frequently produce local benefits but fail to scale across operations, leaving leadership with rising bills and uneven outcomes. </w:t>
      </w:r>
      <w:hyperlink r:id="rId9">
        <w:r>
          <w:rPr>
            <w:color w:val="0000EE"/>
            <w:u w:val="single"/>
          </w:rPr>
          <w:t>[1]</w:t>
        </w:r>
      </w:hyperlink>
      <w:r/>
    </w:p>
    <w:p>
      <w:r/>
      <w:r>
        <w:t xml:space="preserve">Scaling has been held back by both technical and organisational frictions. Reuters reporting shows companies repeatedly run into problems with data quality, systems integration, security controls and regulatory compliance , obstacles that are as much about unclear ownership and fractured decision rights as about model performance. The result is heavy investment in trials with limited translation into embedded, day‑to‑day systems. </w:t>
      </w:r>
      <w:hyperlink r:id="rId9">
        <w:r>
          <w:rPr>
            <w:color w:val="0000EE"/>
            <w:u w:val="single"/>
          </w:rPr>
          <w:t>[1]</w:t>
        </w:r>
      </w:hyperlink>
      <w:r/>
    </w:p>
    <w:p>
      <w:r/>
      <w:r>
        <w:t xml:space="preserve">Infrastructure costs are reshaping the economics of AI. Training and running large models demand substantial compute, storage and energy; cloud bills can balloon and on‑premises builds require large upfront capital. Oracle’s recent guidance illustrates the point: the company signalled a $15 billion increase in capital expenditure for fiscal 2026 to expand AI cloud data centres, a move investors weighed heavily when shares fell after the update. The company said it is exploring alternative financing models, including customer‑provided chips and vendor‑rented capacity, underscoring how infrastructure decisions now sit alongside product choice in determining AI returns. </w:t>
      </w:r>
      <w:hyperlink r:id="rId9">
        <w:r>
          <w:rPr>
            <w:color w:val="0000EE"/>
            <w:u w:val="single"/>
          </w:rPr>
          <w:t>[1]</w:t>
        </w:r>
      </w:hyperlink>
      <w:hyperlink r:id="rId10">
        <w:r>
          <w:rPr>
            <w:color w:val="0000EE"/>
            <w:u w:val="single"/>
          </w:rPr>
          <w:t>[4]</w:t>
        </w:r>
      </w:hyperlink>
      <w:r/>
    </w:p>
    <w:p>
      <w:r/>
      <w:r>
        <w:t xml:space="preserve">Growing scrutiny from boards, regulators and internal audit teams is pushing AI governance toward the centre of executive decision‑making. The Wall Street Journal reports many firms are moving from loosely connected experiments to centralised AI councils, clearer ownership and formal measures tied to business priorities , a shift that can slow pilot velocity but aims to reduce downstream risk and duplication. </w:t>
      </w:r>
      <w:hyperlink r:id="rId9">
        <w:r>
          <w:rPr>
            <w:color w:val="0000EE"/>
            <w:u w:val="single"/>
          </w:rPr>
          <w:t>[1]</w:t>
        </w:r>
      </w:hyperlink>
      <w:r/>
    </w:p>
    <w:p>
      <w:r/>
      <w:r>
        <w:t xml:space="preserve">The technology’s impact on labour is sharpening executive trade‑offs. Reuters coverage of major US banks shows AI delivering meaningful productivity gains , JPMorgan said productivity in some operations roughly doubled , and several institutions expect AI to enable more output from similar headcount, even as some firms like Goldman Sachs flag potential job reductions in later phases. These developments reinforce why leaders both press on with AI and cautious about short‑term headcount moves. </w:t>
      </w:r>
      <w:hyperlink r:id="rId11">
        <w:r>
          <w:rPr>
            <w:color w:val="0000EE"/>
            <w:u w:val="single"/>
          </w:rPr>
          <w:t>[2]</w:t>
        </w:r>
      </w:hyperlink>
      <w:r/>
    </w:p>
    <w:p>
      <w:r/>
      <w:r>
        <w:t xml:space="preserve">Market and macro watchers caution that AI itself is now a material risk , and a potential market driver. A leading hedge fund manager warned that AI could be the largest tail risk for 2026, with rapid shifts in demand or monetisation affecting hyperscalers’ spending and broader employment patterns. At the same time, investment firms such as UBS point to AI‑driven capital expenditure and earnings potential as fuel for equity markets into 2026, creating a picture of high upside alongside meaningful downside. </w:t>
      </w:r>
      <w:hyperlink r:id="rId12">
        <w:r>
          <w:rPr>
            <w:color w:val="0000EE"/>
            <w:u w:val="single"/>
          </w:rPr>
          <w:t>[3]</w:t>
        </w:r>
      </w:hyperlink>
      <w:hyperlink r:id="rId13">
        <w:r>
          <w:rPr>
            <w:color w:val="0000EE"/>
            <w:u w:val="single"/>
          </w:rPr>
          <w:t>[6]</w:t>
        </w:r>
      </w:hyperlink>
      <w:r/>
    </w:p>
    <w:p>
      <w:r/>
      <w:r>
        <w:t xml:space="preserve">Some firms are doubling down despite the uncertainty. Meta has signalled that its AI spending blitz will continue into 2026 with above‑2025 expense growth, while Thomson Reuters and others report sustained, targeted investment in AI‑driven productisation and content tools as a route to monetisable value. Such examples show contrasting corporate responses: some broadenscale capital intensity, others prioritise focused, governance‑backed deployment. </w:t>
      </w:r>
      <w:hyperlink r:id="rId14">
        <w:r>
          <w:rPr>
            <w:color w:val="0000EE"/>
            <w:u w:val="single"/>
          </w:rPr>
          <w:t>[5]</w:t>
        </w:r>
      </w:hyperlink>
      <w:hyperlink r:id="rId15">
        <w:r>
          <w:rPr>
            <w:color w:val="0000EE"/>
            <w:u w:val="single"/>
          </w:rPr>
          <w:t>[7]</w:t>
        </w:r>
      </w:hyperlink>
      <w:r/>
    </w:p>
    <w:p>
      <w:r/>
      <w:r>
        <w:t xml:space="preserve">For CEOs planning into 2026 the implication is clear: retreat from AI is not the prevailing option, but success will hinge less on headline budgets and more on disciplined choices , tighter ownership, realistic timelines, prioritised use cases, and careful infrastructure decisions that balance cloud versus build trade‑offs. Industry data shows advantage will accrue to organisations that turn AI from scattered experiments into repeatable, governed changes in how work is done. </w:t>
      </w:r>
      <w:hyperlink r:id="rId9">
        <w:r>
          <w:rPr>
            <w:color w:val="0000EE"/>
            <w:u w:val="single"/>
          </w:rPr>
          <w:t>[1]</w:t>
        </w:r>
      </w:hyperlink>
      <w:hyperlink r:id="rId10">
        <w:r>
          <w:rPr>
            <w:color w:val="0000EE"/>
            <w:u w:val="single"/>
          </w:rPr>
          <w:t>[4]</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(Artificial Intelligence News / summary of WSJ &amp; Reuters reporting) - Paragraph 1, Paragraph 2, Paragraph 3, Paragraph 5, Paragraph 9 </w:t>
      </w:r>
      <w:r/>
    </w:p>
    <w:p>
      <w:pPr>
        <w:pStyle w:val="ListBullet"/>
        <w:spacing w:line="240" w:lineRule="auto"/>
        <w:ind w:left="720"/>
      </w:pPr>
      <w:r/>
      <w:hyperlink r:id="rId10">
        <w:r>
          <w:rPr>
            <w:color w:val="0000EE"/>
            <w:u w:val="single"/>
          </w:rPr>
          <w:t>[4]</w:t>
        </w:r>
      </w:hyperlink>
      <w:r>
        <w:t xml:space="preserve"> (Reuters – Oracle) - Paragraph 4, Paragraph 9 </w:t>
      </w:r>
      <w:r/>
    </w:p>
    <w:p>
      <w:pPr>
        <w:pStyle w:val="ListBullet"/>
        <w:spacing w:line="240" w:lineRule="auto"/>
        <w:ind w:left="720"/>
      </w:pPr>
      <w:r/>
      <w:hyperlink r:id="rId11">
        <w:r>
          <w:rPr>
            <w:color w:val="0000EE"/>
            <w:u w:val="single"/>
          </w:rPr>
          <w:t>[2]</w:t>
        </w:r>
      </w:hyperlink>
      <w:r>
        <w:t xml:space="preserve"> (Reuters – US banks) - Paragraph 6 </w:t>
      </w:r>
      <w:r/>
    </w:p>
    <w:p>
      <w:pPr>
        <w:pStyle w:val="ListBullet"/>
        <w:spacing w:line="240" w:lineRule="auto"/>
        <w:ind w:left="720"/>
      </w:pPr>
      <w:r/>
      <w:hyperlink r:id="rId12">
        <w:r>
          <w:rPr>
            <w:color w:val="0000EE"/>
            <w:u w:val="single"/>
          </w:rPr>
          <w:t>[3]</w:t>
        </w:r>
      </w:hyperlink>
      <w:r>
        <w:t xml:space="preserve"> (Reuters – Dmitry Balyasny) - Paragraph 7 </w:t>
      </w:r>
      <w:r/>
    </w:p>
    <w:p>
      <w:pPr>
        <w:pStyle w:val="ListBullet"/>
        <w:spacing w:line="240" w:lineRule="auto"/>
        <w:ind w:left="720"/>
      </w:pPr>
      <w:r/>
      <w:hyperlink r:id="rId13">
        <w:r>
          <w:rPr>
            <w:color w:val="0000EE"/>
            <w:u w:val="single"/>
          </w:rPr>
          <w:t>[6]</w:t>
        </w:r>
      </w:hyperlink>
      <w:r>
        <w:t xml:space="preserve"> (Reuters – UBS) - Paragraph 7, Paragraph 9 </w:t>
      </w:r>
      <w:r/>
    </w:p>
    <w:p>
      <w:pPr>
        <w:pStyle w:val="ListBullet"/>
        <w:spacing w:line="240" w:lineRule="auto"/>
        <w:ind w:left="720"/>
      </w:pPr>
      <w:r/>
      <w:hyperlink r:id="rId14">
        <w:r>
          <w:rPr>
            <w:color w:val="0000EE"/>
            <w:u w:val="single"/>
          </w:rPr>
          <w:t>[5]</w:t>
        </w:r>
      </w:hyperlink>
      <w:r>
        <w:t xml:space="preserve"> (CNBC – Meta) - Paragraph 8 </w:t>
      </w:r>
      <w:r/>
    </w:p>
    <w:p>
      <w:pPr>
        <w:pStyle w:val="ListBullet"/>
        <w:spacing w:line="240" w:lineRule="auto"/>
        <w:ind w:left="720"/>
      </w:pPr>
      <w:r/>
      <w:hyperlink r:id="rId15">
        <w:r>
          <w:rPr>
            <w:color w:val="0000EE"/>
            <w:u w:val="single"/>
          </w:rPr>
          <w:t>[7]</w:t>
        </w:r>
      </w:hyperlink>
      <w:r>
        <w:t xml:space="preserve"> (Reuters – Thomson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https://www.artificialintelligence-news.com/news/ceos-still-betting-on-ai-strategy-vs-return-on-investment-in-2026/</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https://www.reuters.com/business/finance/us-bank-executives-say-ai-will-boost-productivity-cut-jobs-2025-12-09/</w:t>
        </w:r>
      </w:hyperlink>
      <w:r>
        <w:t xml:space="preserve"> - Major U.S. banks, including JPMorgan Chase, Wells Fargo, Citigroup, PNC Financial, and Bank of America, are reporting significant gains in productivity due to the adoption of artificial intelligence (AI), with potential implications for job reductions. JPMorgan's Marianne Lake stated AI doubled the bank’s productivity from 3% to 6%, with operations specialists expected to see 40%-50% increases. Wells Fargo CEO Charlie Scharf noted that although headcount hasn't yet decreased, AI allows the bank to accomplish more with the same number of employees. PNC’s CEO emphasized that AI will accelerate long-running automation efforts, enabling the bank to maintain headcount while tripling in size over a decade. Citigroup and Bank of America also highlighted AI’s impact in enhancing efficiency and real-time support. Goldman Sachs announced potential job cuts as part of its AI initiative “OneGS 3.0,” targeting improvements in sales, lending, and other operations. While AI is seen as a productivity booster, the technology is also fueling concerns about workforce displacement amid broader economic transformation.</w:t>
      </w:r>
      <w:r/>
    </w:p>
    <w:p>
      <w:pPr>
        <w:pStyle w:val="ListNumber"/>
        <w:spacing w:line="240" w:lineRule="auto"/>
        <w:ind w:left="720"/>
      </w:pPr>
      <w:r/>
      <w:hyperlink r:id="rId12">
        <w:r>
          <w:rPr>
            <w:color w:val="0000EE"/>
            <w:u w:val="single"/>
          </w:rPr>
          <w:t>https://www.reuters.com/business/hedge-fund-managing-partner-dmitry-balyasny-taps-ai-largest-tail-risk-2026-2025-12-09/</w:t>
        </w:r>
      </w:hyperlink>
      <w:r>
        <w:t xml:space="preserve"> - Dmitry Balyasny, managing partner and CIO of Balyasny Asset Management, highlighted artificial intelligence (AI) as the largest tail risk for 2026 during a talk at Abu Dhabi Finance Week. He cautioned that unexpected outcomes in the AI industry—whether significantly positive or negative—could destabilize markets. On the downside, a decrease in AI demand or monetization shortfalls could lead hyperscaler companies to cut spending. On the upside, rapid AI advancement might result in job displacement before workers can retrain. Despite these risks, Balyasny anticipates AI will continue its current growth trajectory. Balyasny also commented on Abu Dhabi's emerging status as a financial hub, noting its appeal to talent, influx of capital, and emphasis on tech and AI. His hedge fund, which manages $31 billion, saw a 2.5% return in November and a 15.3% return so far for the year, according to Reuters.</w:t>
      </w:r>
      <w:r/>
    </w:p>
    <w:p>
      <w:pPr>
        <w:pStyle w:val="ListNumber"/>
        <w:spacing w:line="240" w:lineRule="auto"/>
        <w:ind w:left="720"/>
      </w:pPr>
      <w:r/>
      <w:hyperlink r:id="rId10">
        <w:r>
          <w:rPr>
            <w:color w:val="0000EE"/>
            <w:u w:val="single"/>
          </w:rPr>
          <w:t>https://www.reuters.com/business/retail-consumer/oracle-reports-higher-quarterly-remaining-performance-obligations-2025-12-10/</w:t>
        </w:r>
      </w:hyperlink>
      <w:r>
        <w:t xml:space="preserve"> - Oracle's latest financial forecast disappointed Wall Street as the company predicted lower-than-expected sales and profits, alongside a significant $15 billion increase in capital expenditures for fiscal 2026. This spending surge, tied to Oracle's ambitious efforts to build AI cloud data centers, raised investor concerns about the profitability and sustainability of its AI strategy. As a result, Oracle shares dropped 10% in after-hours trading. The company forecasted third-quarter adjusted earnings per share of $1.64 to $1.68, missing estimates of $1.72, and projected revenue growth of 16%–18%, below expectations of 19.4%. Oracle also underperformed on cloud sales and future contract commitments, reporting $523 billion—short of analyst expectations of $526 billion. Despite posting a strong second-quarter profit of $2.26 per share, largely due to a one-time $2.7 billion gain from selling its stake in Ampere Computing, performance metrics like revenue and operating income still missed targets. Oracle CEO Clay Magouyrk indicated that alternative financing models for cloud infrastructure are being explored, including customer-provided chips and vendor-rented capacity. Chairman Larry Ellison emphasized the company’s move towards chip neutrality to meet diverse customer needs.</w:t>
      </w:r>
      <w:r/>
    </w:p>
    <w:p>
      <w:pPr>
        <w:pStyle w:val="ListNumber"/>
        <w:spacing w:line="240" w:lineRule="auto"/>
        <w:ind w:left="720"/>
      </w:pPr>
      <w:r/>
      <w:hyperlink r:id="rId14">
        <w:r>
          <w:rPr>
            <w:color w:val="0000EE"/>
            <w:u w:val="single"/>
          </w:rPr>
          <w:t>https://www.cnbc.com/2025/07/30/metas-big-ai-spending-blitz-will-continue-into-2026-.html</w:t>
        </w:r>
      </w:hyperlink>
      <w:r>
        <w:t xml:space="preserve"> - Meta CEO Mark Zuckerberg plans to continue his company's artificial intelligence spending blitz well into the next year as rival tech giants do the same. While Meta is still planning out next year, the company said its AI initiatives will 'result in a 2026 year-over-year expense growth rate that is above the 2025 expense growth.' For now, investors are OK with Meta's big AI investments, with the company's shares up nearly 12% in after-hour trading on Wednesday. In this article, Meta's AI spending plans and their impact on the company's financial performance are discussed.</w:t>
      </w:r>
      <w:r/>
    </w:p>
    <w:p>
      <w:pPr>
        <w:pStyle w:val="ListNumber"/>
        <w:spacing w:line="240" w:lineRule="auto"/>
        <w:ind w:left="720"/>
      </w:pPr>
      <w:r/>
      <w:hyperlink r:id="rId13">
        <w:r>
          <w:rPr>
            <w:color w:val="0000EE"/>
            <w:u w:val="single"/>
          </w:rPr>
          <w:t>https://www.reuters.com/business/finance/ubs-sets-sp-500s-2026-year-end-target-7500-ai-driven-rally-2025-11-10/</w:t>
        </w:r>
      </w:hyperlink>
      <w:r>
        <w:t xml:space="preserve"> - UBS Global Research projects the S&amp;P 500 to reach 7,500 by the end of 2026, driven by continued momentum in artificial intelligence and strong corporate earnings, particularly in the resilient technology sector. The index is already approaching 7,000, closing at 6,728.80 recently, amid investor optimism over AI, robust profits, and potential interest rate cuts. Major contributors to the rally include tech giants like Nvidia, Microsoft, and Alphabet, with AI-driven capital expenditures at record highs. UBS forecasts 14.4% earnings growth through 2026, expecting acceleration from Q2 onward, despite ongoing bubble concerns around AI stock valuations. On the global front, UBS anticipates an economic pickup in 2026-2027, spurred by enhanced business and consumer confidence and new fiscal stimulus across major economies. However, near-term challenges include a soft patch caused by tariffs impacting prices and global exports. Among emerging markets, the firm favors Chinese equities and the yuan, citing improving confidence and credit growth. UBS also predicts a potential shift in global safe-haven preferences, as declining U.S. inflation could alter the relative appeal of the U.S. dollar and Treasuries in favor of gold and European currencies.</w:t>
      </w:r>
      <w:r/>
    </w:p>
    <w:p>
      <w:pPr>
        <w:pStyle w:val="ListNumber"/>
        <w:spacing w:line="240" w:lineRule="auto"/>
        <w:ind w:left="720"/>
      </w:pPr>
      <w:r/>
      <w:hyperlink r:id="rId15">
        <w:r>
          <w:rPr>
            <w:color w:val="0000EE"/>
            <w:u w:val="single"/>
          </w:rPr>
          <w:t>https://www.reuters.com/business/media-telecom/thomson-reuters-raises-2025-organic-revenue-forecast-2025-02-06/</w:t>
        </w:r>
      </w:hyperlink>
      <w:r>
        <w:t xml:space="preserve"> - Thomson Reuters reported strong financial performance and raised its organic revenue growth forecast for 2025 and 2026, driven by ongoing investment in AI technologies. The company expects organic revenue to grow by 7–7.5% in 2025 and 7.5–8% in 2026, an improvement from 7% growth in 2024. In Q4 2024, revenue rose 5% to $1.909 billion, surpassing analyst expectations, and adjusted earnings per share came in at $1.01, beating the forecast of 96 cents. CEO Steve Hasker highlighted the firm's focus on AI-driven content and technology to support professionals in complex decision-making. In 2024, the company invested over $200 million in AI and intends to maintain that pace in 2025. Recent acquisitions include AI startup Materia and tax-tech firm SafeSend (for $600M). Shares rose significantly on both the Toronto and New York Stock Exchanges following the announcement. Thomson Reuters is also testing China’s low-cost AI model DeepSeek in a secure environment, amid growing global concerns and bans over its use. The company’s Q4 operating profit surged 29% to $722 million due to the sale of FindLaw, and it increased its dividend by 10%.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ificialintelligence-news.com/news/ceos-still-betting-on-ai-strategy-vs-return-on-investment-in-2026/" TargetMode="External"/><Relationship Id="rId10" Type="http://schemas.openxmlformats.org/officeDocument/2006/relationships/hyperlink" Target="https://www.reuters.com/business/retail-consumer/oracle-reports-higher-quarterly-remaining-performance-obligations-2025-12-10/" TargetMode="External"/><Relationship Id="rId11" Type="http://schemas.openxmlformats.org/officeDocument/2006/relationships/hyperlink" Target="https://www.reuters.com/business/finance/us-bank-executives-say-ai-will-boost-productivity-cut-jobs-2025-12-09/" TargetMode="External"/><Relationship Id="rId12" Type="http://schemas.openxmlformats.org/officeDocument/2006/relationships/hyperlink" Target="https://www.reuters.com/business/hedge-fund-managing-partner-dmitry-balyasny-taps-ai-largest-tail-risk-2026-2025-12-09/" TargetMode="External"/><Relationship Id="rId13" Type="http://schemas.openxmlformats.org/officeDocument/2006/relationships/hyperlink" Target="https://www.reuters.com/business/finance/ubs-sets-sp-500s-2026-year-end-target-7500-ai-driven-rally-2025-11-10/" TargetMode="External"/><Relationship Id="rId14" Type="http://schemas.openxmlformats.org/officeDocument/2006/relationships/hyperlink" Target="https://www.cnbc.com/2025/07/30/metas-big-ai-spending-blitz-will-continue-into-2026-.html" TargetMode="External"/><Relationship Id="rId15" Type="http://schemas.openxmlformats.org/officeDocument/2006/relationships/hyperlink" Target="https://www.reuters.com/business/media-telecom/thomson-reuters-raises-2025-organic-revenue-forecast-2025-02-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