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and Duke‑NUS secure major grants to explore ethnic differences in disease susceptibility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Leveraging advances in genomics, medical imaging and health informatics, five multidisciplinary teams from Duke University and Duke-NUS Medical School have won joint Research Collaboration Pilot Project grants to probe how diseases differ between Asian and non‑Asian populations. According to the announcement, the projects will compare clinical cohorts from Singapore and the United States to investigate infectious disease susceptibility, corneal dystrophy, liver transplant outcomes, diabetes-related adiposity, and lung cancer biology. </w:t>
      </w:r>
      <w:hyperlink r:id="rId9">
        <w:r>
          <w:rPr>
            <w:color w:val="0000EE"/>
            <w:u w:val="single"/>
          </w:rPr>
          <w:t>[1]</w:t>
        </w:r>
      </w:hyperlink>
      <w:hyperlink r:id="rId9">
        <w:r>
          <w:rPr>
            <w:color w:val="0000EE"/>
            <w:u w:val="single"/>
          </w:rPr>
          <w:t>[2]</w:t>
        </w:r>
      </w:hyperlink>
      <w:r/>
    </w:p>
    <w:p>
      <w:r/>
      <w:r>
        <w:t xml:space="preserve">The flagship award, titled "An Organoid Single‑Cell GWAS Platform for Comparing Infectious Disease Susceptibility in USA vs. Singapore", is co‑led by Associate Professor Dennis Ko of Duke and Assistant Professor Mart Matthias Lamers of Duke‑NUS. The team will grow nasal organoids from hundreds of donors in each country, expose them to respiratory pathogens and combine single‑cell infection readouts with host genetics to build an atlas of susceptibility that could guide new antiviral and antimicrobial strategies. The proposal frames this work as a complementary route to large patient GWAS by using experimentally tractable organoid models to interrogate host‑pathogen interactions. </w:t>
      </w:r>
      <w:hyperlink r:id="rId9">
        <w:r>
          <w:rPr>
            <w:color w:val="0000EE"/>
            <w:u w:val="single"/>
          </w:rPr>
          <w:t>[1]</w:t>
        </w:r>
      </w:hyperlink>
      <w:r>
        <w:t>[A]</w:t>
      </w:r>
      <w:r/>
    </w:p>
    <w:p>
      <w:r/>
      <w:r>
        <w:t xml:space="preserve">Another project, MIA‑Lung: Multiplex IHC Atlas for Lung Cancer, will profile antibody‑drug conjugate (ADC) relevant biomarkers on tissue microarrays drawn from both Asian and Western cohorts. Co‑led by Assistant Professor Laura Alder at Duke and Assistant Professor Aaron Tan at Duke‑NUS, the study aims to characterise tumour microenvironment and biomarker distribution that may underpin differential responses to targeted therapies across populations. According to the project summary, multiplex immunohistochemistry will enable high‑resolution, spatially resolved phenotyping that informs translational and therapeutic decision‑making. </w:t>
      </w:r>
      <w:hyperlink r:id="rId9">
        <w:r>
          <w:rPr>
            <w:color w:val="0000EE"/>
            <w:u w:val="single"/>
          </w:rPr>
          <w:t>[1]</w:t>
        </w:r>
      </w:hyperlink>
      <w:r>
        <w:t>[A]</w:t>
      </w:r>
      <w:r/>
    </w:p>
    <w:p>
      <w:r/>
      <w:r>
        <w:t xml:space="preserve">A genetics‑focused team led by Professor Yi‑Ju Li (Duke) and Professor Jodhbir Singh Mehta (Duke‑NUS) will seek ancestry‑specific and shared risk loci for Fuchs Endothelial Corneal Dystrophy (FECD). FECD is a progressive corneal disorder with substantial heritability and variable prevalence by ancestry; the investigators propose whole‑genome sequence analysis, mitochondrial haplogroup assessment, and development of polygenic risk scores that incorporate nuclear and mitochondrial variants to improve cross‑population risk prediction. The project notes current genetic discoveries have been dominated by European cohorts and aims to fill gaps for Asian populations. </w:t>
      </w:r>
      <w:hyperlink r:id="rId9">
        <w:r>
          <w:rPr>
            <w:color w:val="0000EE"/>
            <w:u w:val="single"/>
          </w:rPr>
          <w:t>[1]</w:t>
        </w:r>
      </w:hyperlink>
      <w:r>
        <w:t>[A]</w:t>
      </w:r>
      <w:r/>
    </w:p>
    <w:p>
      <w:r/>
      <w:r>
        <w:t xml:space="preserve">Comparative outcomes in liver transplantation form the focus of a two‑centre analysis led by Professor Debra Sudan (Duke) and Clinical Associate Professor Prema Raj Jeyaraj (Duke‑NUS). The study will harmonise electronic medical record data from Duke University Hospital and SingHealth Duke‑NUS Transplant Centre to compare living‑donor predominant practice in Singapore with deceased‑donor practice in the US, using a validated "textbook outcomes" composite and automated outcome‑detection tools. The investigators aim to identify drivers of suboptimal recovery and to create a scalable framework for international benchmarking and real‑time decision support in transplant care. </w:t>
      </w:r>
      <w:hyperlink r:id="rId9">
        <w:r>
          <w:rPr>
            <w:color w:val="0000EE"/>
            <w:u w:val="single"/>
          </w:rPr>
          <w:t>[1]</w:t>
        </w:r>
      </w:hyperlink>
      <w:r>
        <w:t>[A]</w:t>
      </w:r>
      <w:r/>
    </w:p>
    <w:p>
      <w:r/>
      <w:r>
        <w:t xml:space="preserve">A fifth project, co‑led by Assistant Professor James Jung (Duke) and Associate Professor Nan Liu (Duke‑NUS), will perform imaging‑based comparisons of adiposity distribution and diabetes risk across Asian and non‑Asian populations. The research will combine comparative imaging phenotypes with clinical data to probe whether differences in fat distribution contribute to the distinct diabetes risk profiles observed between populations. The summary positions the work to inform precision prevention and risk stratification strategies. </w:t>
      </w:r>
      <w:hyperlink r:id="rId9">
        <w:r>
          <w:rPr>
            <w:color w:val="0000EE"/>
            <w:u w:val="single"/>
          </w:rPr>
          <w:t>[1]</w:t>
        </w:r>
      </w:hyperlink>
      <w:r>
        <w:t>[A]</w:t>
      </w:r>
      <w:r/>
    </w:p>
    <w:p>
      <w:r/>
      <w:r>
        <w:t xml:space="preserve">The initiative builds on longstanding institutional ties: since 2009 the Duke–Duke‑NUS partnership has supported more than 70 projects with substantial funding, and earlier programme reviews show the collaboration has catalysed additional extramural support and a broad portfolio spanning cancers, cardiovascular disease, infectious disease and health services research. According to the announcement, more than 40 proposals were received this year and the five selected awards pair a Duke principal investigator with a Duke‑NUS counterpart; each Duke PI will receive US$100,000 and each Duke‑NUS PI S$100,000 over two years. </w:t>
      </w:r>
      <w:hyperlink r:id="rId9">
        <w:r>
          <w:rPr>
            <w:color w:val="0000EE"/>
            <w:u w:val="single"/>
          </w:rPr>
          <w:t>[1]</w:t>
        </w:r>
      </w:hyperlink>
      <w:hyperlink r:id="rId10">
        <w:r>
          <w:rPr>
            <w:color w:val="0000EE"/>
            <w:u w:val="single"/>
          </w:rPr>
          <w:t>[5]</w:t>
        </w:r>
      </w:hyperlink>
      <w:hyperlink r:id="rId11">
        <w:r>
          <w:rPr>
            <w:color w:val="0000EE"/>
            <w:u w:val="single"/>
          </w:rPr>
          <w:t>[3]</w:t>
        </w:r>
      </w:hyperlink>
      <w:r/>
    </w:p>
    <w:p>
      <w:r/>
      <w:r>
        <w:t xml:space="preserve">Leaders framed the awards as timely given growing global health threats. "Studying different populations helps reveal what drives disease variations and how care can be tailored to serve people more effectively," Professor Patrick Tan, Dean‑designate and Senior Vice‑Dean for Research at Duke‑NUS, said in the statement. He added that the institutions' long‑standing partnerships and advances in genomics and data science uniquely position them to support large‑scale, cross‑population studies. The announcement also emphasised pandemic preparedness and the need for new approaches to tackle emerging drug‑resistant and zoonotic pathogens. </w:t>
      </w:r>
      <w:hyperlink r:id="rId9">
        <w:r>
          <w:rPr>
            <w:color w:val="0000EE"/>
            <w:u w:val="single"/>
          </w:rPr>
          <w:t>[1]</w:t>
        </w:r>
      </w:hyperlink>
      <w:hyperlink r:id="rId12">
        <w:r>
          <w:rPr>
            <w:color w:val="0000EE"/>
            <w:u w:val="single"/>
          </w:rPr>
          <w:t>[7]</w:t>
        </w:r>
      </w:hyperlink>
      <w:r>
        <w:t>[A]</w:t>
      </w:r>
      <w:r/>
    </w:p>
    <w:p>
      <w:r/>
      <w:r>
        <w:t xml:space="preserve">The projects will deploy diverse methods , from organoid single‑cell assays and multiplex imaging to harmonised EMR analytics and integrative genomics , reflecting a broader trend of combining experimental models with population data to translate genetic and molecular findings into clinical tools. Industry and academic observers say such cross‑population work is critical to ensure discoveries and therapeutic advances are applicable beyond predominantly European study cohorts; the pilot awards are positioned as a step towards more representative, transnational research infrastructure. </w:t>
      </w:r>
      <w:hyperlink r:id="rId11">
        <w:r>
          <w:rPr>
            <w:color w:val="0000EE"/>
            <w:u w:val="single"/>
          </w:rPr>
          <w:t>[3]</w:t>
        </w:r>
      </w:hyperlink>
      <w:hyperlink r:id="rId13">
        <w:r>
          <w:rPr>
            <w:color w:val="0000EE"/>
            <w:u w:val="single"/>
          </w:rPr>
          <w:t>[4]</w:t>
        </w:r>
      </w:hyperlink>
      <w:hyperlink r:id="rId10">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(Asia Research News) - Paragraph 1, Paragraph 2, Paragraph 3, Paragraph 4, Paragraph 5, Paragraph 6, Paragraph 7 </w:t>
      </w:r>
      <w:r/>
    </w:p>
    <w:p>
      <w:pPr>
        <w:pStyle w:val="ListBullet"/>
        <w:spacing w:line="240" w:lineRule="auto"/>
        <w:ind w:left="720"/>
      </w:pPr>
      <w:r/>
      <w:r>
        <w:t xml:space="preserve">[A] (Annex A , project summaries provided) - Paragraph 2, Paragraph 3, Paragraph 4, Paragraph 5, Paragraph 8 </w:t>
      </w:r>
      <w:r/>
    </w:p>
    <w:p>
      <w:pPr>
        <w:pStyle w:val="ListBullet"/>
        <w:spacing w:line="240" w:lineRule="auto"/>
        <w:ind w:left="720"/>
      </w:pPr>
      <w:r/>
      <w:hyperlink r:id="rId9">
        <w:r>
          <w:rPr>
            <w:color w:val="0000EE"/>
            <w:u w:val="single"/>
          </w:rPr>
          <w:t>[2]</w:t>
        </w:r>
      </w:hyperlink>
      <w:r>
        <w:t xml:space="preserve"> (Asia Research News , summary) - Paragraph 1 </w:t>
      </w:r>
      <w:r/>
    </w:p>
    <w:p>
      <w:pPr>
        <w:pStyle w:val="ListBullet"/>
        <w:spacing w:line="240" w:lineRule="auto"/>
        <w:ind w:left="720"/>
      </w:pPr>
      <w:r/>
      <w:hyperlink r:id="rId11">
        <w:r>
          <w:rPr>
            <w:color w:val="0000EE"/>
            <w:u w:val="single"/>
          </w:rPr>
          <w:t>[3]</w:t>
        </w:r>
      </w:hyperlink>
      <w:r>
        <w:t xml:space="preserve"> (Duke call for proposals PDF) - Paragraph 6, Paragraph 8 </w:t>
      </w:r>
      <w:r/>
    </w:p>
    <w:p>
      <w:pPr>
        <w:pStyle w:val="ListBullet"/>
        <w:spacing w:line="240" w:lineRule="auto"/>
        <w:ind w:left="720"/>
      </w:pPr>
      <w:r/>
      <w:hyperlink r:id="rId13">
        <w:r>
          <w:rPr>
            <w:color w:val="0000EE"/>
            <w:u w:val="single"/>
          </w:rPr>
          <w:t>[4]</w:t>
        </w:r>
      </w:hyperlink>
      <w:r>
        <w:t xml:space="preserve"> (Duke Global Health Institute page) - Paragraph 8 </w:t>
      </w:r>
      <w:r/>
    </w:p>
    <w:p>
      <w:pPr>
        <w:pStyle w:val="ListBullet"/>
        <w:spacing w:line="240" w:lineRule="auto"/>
        <w:ind w:left="720"/>
      </w:pPr>
      <w:r/>
      <w:hyperlink r:id="rId10">
        <w:r>
          <w:rPr>
            <w:color w:val="0000EE"/>
            <w:u w:val="single"/>
          </w:rPr>
          <w:t>[5]</w:t>
        </w:r>
      </w:hyperlink>
      <w:r>
        <w:t xml:space="preserve"> (PMC review of Duke‑NUS partnership 2009–2019) - Paragraph 6, Paragraph 8 </w:t>
      </w:r>
      <w:r/>
    </w:p>
    <w:p>
      <w:pPr>
        <w:pStyle w:val="ListBullet"/>
        <w:spacing w:line="240" w:lineRule="auto"/>
        <w:ind w:left="720"/>
      </w:pPr>
      <w:r/>
      <w:hyperlink r:id="rId12">
        <w:r>
          <w:rPr>
            <w:color w:val="0000EE"/>
            <w:u w:val="single"/>
          </w:rPr>
          <w:t>[7]</w:t>
        </w:r>
      </w:hyperlink>
      <w:r>
        <w:t xml:space="preserve"> (Duke/Duke‑NUS events , Emerging Infectious Diseases symposium)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https://www.asiaresearchnews.com/content/duke-and-duke-nus%E2%80%99-joint-cross-population-research-uncover-east-west-differences-disease-0</w:t>
        </w:r>
      </w:hyperlink>
      <w:r>
        <w:t xml:space="preserve"> - Please view link - unable to able to access data</w:t>
      </w:r>
      <w:r/>
    </w:p>
    <w:p>
      <w:pPr>
        <w:pStyle w:val="ListNumber"/>
        <w:spacing w:line="240" w:lineRule="auto"/>
        <w:ind w:left="720"/>
      </w:pPr>
      <w:r/>
      <w:hyperlink r:id="rId9">
        <w:r>
          <w:rPr>
            <w:color w:val="0000EE"/>
            <w:u w:val="single"/>
          </w:rPr>
          <w:t>https://www.asiaresearchnews.com/content/duke-and-duke-nus%E2%80%99-joint-cross-population-research-uncover-east-west-differences-disease-0</w:t>
        </w:r>
      </w:hyperlink>
      <w:r>
        <w:t xml:space="preserve"> - Duke University and Duke-NUS Medical School have awarded joint Research Collaboration Pilot Project grants to five research teams. These projects aim to study infectious diseases, corneal disorders, liver transplant outcomes, diabetes, and lung cancer by comparing clinical cohorts from Singapore and the United States. The goal is to uncover insights into disease and treatment differences across Asian and non-Asian populations, leveraging advanced tools in genomics, medical imaging, and data science.</w:t>
      </w:r>
      <w:r/>
    </w:p>
    <w:p>
      <w:pPr>
        <w:pStyle w:val="ListNumber"/>
        <w:spacing w:line="240" w:lineRule="auto"/>
        <w:ind w:left="720"/>
      </w:pPr>
      <w:r/>
      <w:hyperlink r:id="rId11">
        <w:r>
          <w:rPr>
            <w:color w:val="0000EE"/>
            <w:u w:val="single"/>
          </w:rPr>
          <w:t>https://medschool.duke.edu/sites/default/files/2025-02/survey_added_final_recapilot_grant_call_2025_feb_2025.pdf</w:t>
        </w:r>
      </w:hyperlink>
      <w:r>
        <w:t xml:space="preserve"> - Duke University and Duke-NUS Medical School have announced a call for proposals for collaborative research pilot projects between faculty based in Durham and Singapore. The initiative focuses on comparing USA and Singapore populations using novel technologies and strategies, aiming to understand differences in disease incidence, clinical manifestation, prognosis, and therapy response between Asian and non-Asian populations.</w:t>
      </w:r>
      <w:r/>
    </w:p>
    <w:p>
      <w:pPr>
        <w:pStyle w:val="ListNumber"/>
        <w:spacing w:line="240" w:lineRule="auto"/>
        <w:ind w:left="720"/>
      </w:pPr>
      <w:r/>
      <w:hyperlink r:id="rId13">
        <w:r>
          <w:rPr>
            <w:color w:val="0000EE"/>
            <w:u w:val="single"/>
          </w:rPr>
          <w:t>https://globalhealth.duke.edu/priority-partnership-locations/singapore</w:t>
        </w:r>
      </w:hyperlink>
      <w:r>
        <w:t xml:space="preserve"> - Duke University's Global Health Institute collaborates with the National University of Singapore (NUS) and SingHealth to address emerging infectious diseases in Asia. The partnership, established in 2019, focuses on research initiatives related to the epidemiology and transmission of infectious diseases, health systems strengthening, and clinical practice improvement.</w:t>
      </w:r>
      <w:r/>
    </w:p>
    <w:p>
      <w:pPr>
        <w:pStyle w:val="ListNumber"/>
        <w:spacing w:line="240" w:lineRule="auto"/>
        <w:ind w:left="720"/>
      </w:pPr>
      <w:r/>
      <w:hyperlink r:id="rId10">
        <w:r>
          <w:rPr>
            <w:color w:val="0000EE"/>
            <w:u w:val="single"/>
          </w:rPr>
          <w:t>https://pmc.ncbi.nlm.nih.gov/articles/PMC12237092/</w:t>
        </w:r>
      </w:hyperlink>
      <w:r>
        <w:t xml:space="preserve"> - An article detailing the outcomes of the Duke-NUS Medical School partnership from 2009 to 2019. The partnership funded over SGD 7 million, leading to more than SGD 46 million in extramural funding. The thematic areas include cancers, cardiovascular diseases, global health, health services, infectious diseases, neurobiological and sense disorders, and clinical programs.</w:t>
      </w:r>
      <w:r/>
    </w:p>
    <w:p>
      <w:pPr>
        <w:pStyle w:val="ListNumber"/>
        <w:spacing w:line="240" w:lineRule="auto"/>
        <w:ind w:left="720"/>
      </w:pPr>
      <w:r/>
      <w:hyperlink r:id="rId15">
        <w:r>
          <w:rPr>
            <w:color w:val="0000EE"/>
            <w:u w:val="single"/>
          </w:rPr>
          <w:t>https://medicine.duke.edu/education-and-training/fellowship-programs/infectious-diseases/training-and-curriculum/research-pathways/transplant-immunocompromised-host-track</w:t>
        </w:r>
      </w:hyperlink>
      <w:r>
        <w:t xml:space="preserve"> - Duke University's Department of Medicine offers a Transplant Infectious Diseases training program. The program provides intensive exposure to infections affecting immunocompromised individuals, including those with solid organ transplants, hematopoietic cell transplants, hematologic malignancies, and advanced cardiac support devices. It integrates with the Duke Cancer Center, Duke Cardiovascular Center, and Duke Transplant Center.</w:t>
      </w:r>
      <w:r/>
    </w:p>
    <w:p>
      <w:pPr>
        <w:pStyle w:val="ListNumber"/>
        <w:spacing w:line="240" w:lineRule="auto"/>
        <w:ind w:left="720"/>
      </w:pPr>
      <w:r/>
      <w:hyperlink r:id="rId12">
        <w:r>
          <w:rPr>
            <w:color w:val="0000EE"/>
            <w:u w:val="single"/>
          </w:rPr>
          <w:t>https://sites.duke.edu/dukevirology/eid-symposium/</w:t>
        </w:r>
      </w:hyperlink>
      <w:r>
        <w:t xml:space="preserve"> - The Emerging Infectious Diseases program at Duke-NUS Medical School and the Duke Center for Virology co-organized a symposium on emerging infectious diseases. The event focused on virology and aimed to build ties between the Duke-NUS EID program and leaders in the field, covering topics such as molecular biology, microbial pathogenesis, immunology, global health, and pandemic preparedness.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siaresearchnews.com/content/duke-and-duke-nus%E2%80%99-joint-cross-population-research-uncover-east-west-differences-disease-0" TargetMode="External"/><Relationship Id="rId10" Type="http://schemas.openxmlformats.org/officeDocument/2006/relationships/hyperlink" Target="https://pmc.ncbi.nlm.nih.gov/articles/PMC12237092/" TargetMode="External"/><Relationship Id="rId11" Type="http://schemas.openxmlformats.org/officeDocument/2006/relationships/hyperlink" Target="https://medschool.duke.edu/sites/default/files/2025-02/survey_added_final_recapilot_grant_call_2025_feb_2025.pdf" TargetMode="External"/><Relationship Id="rId12" Type="http://schemas.openxmlformats.org/officeDocument/2006/relationships/hyperlink" Target="https://sites.duke.edu/dukevirology/eid-symposium/" TargetMode="External"/><Relationship Id="rId13" Type="http://schemas.openxmlformats.org/officeDocument/2006/relationships/hyperlink" Target="https://globalhealth.duke.edu/priority-partnership-locations/singapore" TargetMode="External"/><Relationship Id="rId14" Type="http://schemas.openxmlformats.org/officeDocument/2006/relationships/hyperlink" Target="https://www.noahwire.com" TargetMode="External"/><Relationship Id="rId15" Type="http://schemas.openxmlformats.org/officeDocument/2006/relationships/hyperlink" Target="https://medicine.duke.edu/education-and-training/fellowship-programs/infectious-diseases/training-and-curriculum/research-pathways/transplant-immunocompromised-host-tr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