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digital resilience regulation transforms compliance with new oversight and penalties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Regulation (EU) 2022/2554 , the Digital Operational Resilience Act (DORA) , has been fully applicable across the European Union since 17 January 2025, creating a single, binding framework to strengthen the ability of financial firms to prevent, withstand, respond to and recover from information and communication technology (ICT) incidents. According to the original report, the measure marks a step change in EU financial regulation by treating digital operational resilience as a core supervisory objective rather than an ancillary compliance topic. </w:t>
      </w:r>
      <w:hyperlink r:id="rId9">
        <w:r>
          <w:rPr>
            <w:color w:val="0000EE"/>
            <w:u w:val="single"/>
          </w:rPr>
          <w:t>[1]</w:t>
        </w:r>
      </w:hyperlink>
      <w:hyperlink r:id="rId10">
        <w:r>
          <w:rPr>
            <w:color w:val="0000EE"/>
            <w:u w:val="single"/>
          </w:rPr>
          <w:t>[3]</w:t>
        </w:r>
      </w:hyperlink>
      <w:hyperlink r:id="rId11">
        <w:r>
          <w:rPr>
            <w:color w:val="0000EE"/>
            <w:u w:val="single"/>
          </w:rPr>
          <w:t>[6]</w:t>
        </w:r>
      </w:hyperlink>
      <w:r/>
    </w:p>
    <w:p>
      <w:r/>
      <w:r>
        <w:t xml:space="preserve">DORA’s scope is deliberately broad. The text covers more than twenty categories of financial entities , from credit institutions, investment firms, payment and electronic money institutions to insurers, fund managers and market infrastructures , and explicitly reaches crypto‑asset service providers and certain financial data services. The regulation also brings ICT third‑party providers into the perimeter: where a provider is classified as “critical” it falls within an EU oversight regime co‑ordinated by the three European Supervisory Authorities (ESAs). Industry data shows this harmonisation is intended to ensure consistent rules across the Single Market. </w:t>
      </w:r>
      <w:hyperlink r:id="rId9">
        <w:r>
          <w:rPr>
            <w:color w:val="0000EE"/>
            <w:u w:val="single"/>
          </w:rPr>
          <w:t>[1]</w:t>
        </w:r>
      </w:hyperlink>
      <w:hyperlink r:id="rId10">
        <w:r>
          <w:rPr>
            <w:color w:val="0000EE"/>
            <w:u w:val="single"/>
          </w:rPr>
          <w:t>[3]</w:t>
        </w:r>
      </w:hyperlink>
      <w:hyperlink r:id="rId12">
        <w:r>
          <w:rPr>
            <w:color w:val="0000EE"/>
            <w:u w:val="single"/>
          </w:rPr>
          <w:t>[4]</w:t>
        </w:r>
      </w:hyperlink>
      <w:r/>
    </w:p>
    <w:p>
      <w:r/>
      <w:r>
        <w:t xml:space="preserve">Primary accountability remains with financial entities. The Regulation, and specifically Article 28 onwards, requires firms to comprehensively manage the risks arising from the use of third‑party ICT services , including maintaining a full register of ICT contracts, identifying those that support critical or important functions, and ensuring contractual clauses set minimum requirements on security, audit rights, access, data localisation and subcontracting. When a third party is designated critical, it becomes subject to a pan‑EU oversight regime designed to reduce concentration risk and improve systemic visibility. The ESAs have issued technical standards to implement these obligations and to set templates for registers and incident classification. </w:t>
      </w:r>
      <w:hyperlink r:id="rId9">
        <w:r>
          <w:rPr>
            <w:color w:val="0000EE"/>
            <w:u w:val="single"/>
          </w:rPr>
          <w:t>[1]</w:t>
        </w:r>
      </w:hyperlink>
      <w:hyperlink r:id="rId12">
        <w:r>
          <w:rPr>
            <w:color w:val="0000EE"/>
            <w:u w:val="single"/>
          </w:rPr>
          <w:t>[4]</w:t>
        </w:r>
      </w:hyperlink>
      <w:hyperlink r:id="rId13">
        <w:r>
          <w:rPr>
            <w:color w:val="0000EE"/>
            <w:u w:val="single"/>
          </w:rPr>
          <w:t>[7]</w:t>
        </w:r>
      </w:hyperlink>
      <w:r/>
    </w:p>
    <w:p>
      <w:r/>
      <w:r>
        <w:t xml:space="preserve">In member states such as Spain, the DORA framework has been aligned with national supervisory practice: the Bank of Spain, the CNMV and the DGSFP have stepped up monitoring of ICT operational risk and dependencies on technology providers. The original report notes the need for domestic authorities and supervisors to translate DORA’s requirements into sector‑specific supervisory programmes and guidance. </w:t>
      </w:r>
      <w:hyperlink r:id="rId9">
        <w:r>
          <w:rPr>
            <w:color w:val="0000EE"/>
            <w:u w:val="single"/>
          </w:rPr>
          <w:t>[1]</w:t>
        </w:r>
      </w:hyperlink>
      <w:r/>
    </w:p>
    <w:p>
      <w:r/>
      <w:r>
        <w:t xml:space="preserve">Preparing for DORA supervision or an audit requires a coherent, demonstrable ICT risk management framework. Articles 5 to 14 prescribe minimum elements: inventories of essential assets, ongoing risk assessments, documented security policies and controls, business continuity and recovery planning, and regular resilience testing , including advanced “threat‑led” penetration testing where applicable. The ESAs and the EBA have updated and aligned guidelines to simplify the ICT risk management framework and provide legal clarity on scope and expected controls, while the joint technical standards set out incident reporting templates and criteria for incident classification. Firms must also reconcile DORA incident reporting with GDPR obligations: data protection authorities emphasise that personal data breaches remain subject to the 72‑hour reporting duty under data‑protection law, requiring internal coordination of reporting flows. </w:t>
      </w:r>
      <w:hyperlink r:id="rId9">
        <w:r>
          <w:rPr>
            <w:color w:val="0000EE"/>
            <w:u w:val="single"/>
          </w:rPr>
          <w:t>[1]</w:t>
        </w:r>
      </w:hyperlink>
      <w:hyperlink r:id="rId14">
        <w:r>
          <w:rPr>
            <w:color w:val="0000EE"/>
            <w:u w:val="single"/>
          </w:rPr>
          <w:t>[2]</w:t>
        </w:r>
      </w:hyperlink>
      <w:hyperlink r:id="rId13">
        <w:r>
          <w:rPr>
            <w:color w:val="0000EE"/>
            <w:u w:val="single"/>
          </w:rPr>
          <w:t>[7]</w:t>
        </w:r>
      </w:hyperlink>
      <w:r/>
    </w:p>
    <w:p>
      <w:r/>
      <w:r>
        <w:t xml:space="preserve">Non‑compliance carries significant legal and financial consequences. Article 50 mandates that member states provide for “effective, proportionate and dissuasive” sanctions; in practice, this means national sectoral sanctioning regimes , including fines, activity restrictions, public warnings and, in serious cases, sanctions directed at members of management bodies , may be applied in tandem with data‑protection penalties where incidents involve personal data. The original report underlines that combined enforcement under DORA and the GDPR materially increases the financial and reputational stakes for firms. </w:t>
      </w:r>
      <w:hyperlink r:id="rId9">
        <w:r>
          <w:rPr>
            <w:color w:val="0000EE"/>
            <w:u w:val="single"/>
          </w:rPr>
          <w:t>[1]</w:t>
        </w:r>
      </w:hyperlink>
      <w:r/>
    </w:p>
    <w:p>
      <w:r/>
      <w:r>
        <w:t xml:space="preserve">For firms and their boards, the practical implication is clear: compliance with DORA requires organisational transformation rather than point remedies. The regulation shifts supervisory focus from merely preserving solvency to assuring operational continuity through severe digital disruption, and industry commentators note it will drive convergence of security and resilience practices across the EU. Entities that integrate DORA’s requirements into governance, risk‑management and procurement processes , and that adopt the ESAs’ technical standards and guidelines as operational baselines , will reduce enforcement risk and may secure a competitive advantage in a market where demonstrable resilience becomes a market signal. </w:t>
      </w:r>
      <w:hyperlink r:id="rId15">
        <w:r>
          <w:rPr>
            <w:color w:val="0000EE"/>
            <w:u w:val="single"/>
          </w:rPr>
          <w:t>[5]</w:t>
        </w:r>
      </w:hyperlink>
      <w:hyperlink r:id="rId14">
        <w:r>
          <w:rPr>
            <w:color w:val="0000EE"/>
            <w:u w:val="single"/>
          </w:rPr>
          <w:t>[2]</w:t>
        </w:r>
      </w:hyperlink>
      <w:hyperlink r:id="rId11">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(LetsLaw) - Paragraph 1, Paragraph 2, Paragraph 3, Paragraph 4, Paragraph 5, Paragraph 6, Paragraph 7 </w:t>
      </w:r>
      <w:r/>
    </w:p>
    <w:p>
      <w:pPr>
        <w:pStyle w:val="ListBullet"/>
        <w:spacing w:line="240" w:lineRule="auto"/>
        <w:ind w:left="720"/>
      </w:pPr>
      <w:r/>
      <w:hyperlink r:id="rId10">
        <w:r>
          <w:rPr>
            <w:color w:val="0000EE"/>
            <w:u w:val="single"/>
          </w:rPr>
          <w:t>[3]</w:t>
        </w:r>
      </w:hyperlink>
      <w:r>
        <w:t xml:space="preserve"> (ESMA) - Paragraph 1, Paragraph 2 </w:t>
      </w:r>
      <w:r/>
    </w:p>
    <w:p>
      <w:pPr>
        <w:pStyle w:val="ListBullet"/>
        <w:spacing w:line="240" w:lineRule="auto"/>
        <w:ind w:left="720"/>
      </w:pPr>
      <w:r/>
      <w:hyperlink r:id="rId11">
        <w:r>
          <w:rPr>
            <w:color w:val="0000EE"/>
            <w:u w:val="single"/>
          </w:rPr>
          <w:t>[6]</w:t>
        </w:r>
      </w:hyperlink>
      <w:r>
        <w:t xml:space="preserve"> (EIOPA) - Paragraph 1, Paragraph 7 </w:t>
      </w:r>
      <w:r/>
    </w:p>
    <w:p>
      <w:pPr>
        <w:pStyle w:val="ListBullet"/>
        <w:spacing w:line="240" w:lineRule="auto"/>
        <w:ind w:left="720"/>
      </w:pPr>
      <w:r/>
      <w:hyperlink r:id="rId12">
        <w:r>
          <w:rPr>
            <w:color w:val="0000EE"/>
            <w:u w:val="single"/>
          </w:rPr>
          <w:t>[4]</w:t>
        </w:r>
      </w:hyperlink>
      <w:r>
        <w:t xml:space="preserve"> (EBA , DORA supervision) - Paragraph 2, Paragraph 3 </w:t>
      </w:r>
      <w:r/>
    </w:p>
    <w:p>
      <w:pPr>
        <w:pStyle w:val="ListBullet"/>
        <w:spacing w:line="240" w:lineRule="auto"/>
        <w:ind w:left="720"/>
      </w:pPr>
      <w:r/>
      <w:hyperlink r:id="rId13">
        <w:r>
          <w:rPr>
            <w:color w:val="0000EE"/>
            <w:u w:val="single"/>
          </w:rPr>
          <w:t>[7]</w:t>
        </w:r>
      </w:hyperlink>
      <w:r>
        <w:t xml:space="preserve"> (EBA press release on RTS/ITS) - Paragraph 3, Paragraph 5 </w:t>
      </w:r>
      <w:r/>
    </w:p>
    <w:p>
      <w:pPr>
        <w:pStyle w:val="ListBullet"/>
        <w:spacing w:line="240" w:lineRule="auto"/>
        <w:ind w:left="720"/>
      </w:pPr>
      <w:r/>
      <w:hyperlink r:id="rId14">
        <w:r>
          <w:rPr>
            <w:color w:val="0000EE"/>
            <w:u w:val="single"/>
          </w:rPr>
          <w:t>[2]</w:t>
        </w:r>
      </w:hyperlink>
      <w:r>
        <w:t xml:space="preserve"> (EBA , amended guidelines) - Paragraph 5, Paragraph 7 </w:t>
      </w:r>
      <w:r/>
    </w:p>
    <w:p>
      <w:pPr>
        <w:pStyle w:val="ListBullet"/>
        <w:spacing w:line="240" w:lineRule="auto"/>
        <w:ind w:left="720"/>
      </w:pPr>
      <w:r/>
      <w:hyperlink r:id="rId15">
        <w:r>
          <w:rPr>
            <w:color w:val="0000EE"/>
            <w:u w:val="single"/>
          </w:rPr>
          <w:t>[5]</w:t>
        </w:r>
      </w:hyperlink>
      <w:r>
        <w:t xml:space="preserve"> (PwC Czech)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https://letslaw.es/en/dora-regulation-financial-sector/</w:t>
        </w:r>
      </w:hyperlink>
      <w:r>
        <w:t xml:space="preserve"> - Please view link - unable to able to access data</w:t>
      </w:r>
      <w:r/>
    </w:p>
    <w:p>
      <w:pPr>
        <w:pStyle w:val="ListNumber"/>
        <w:spacing w:line="240" w:lineRule="auto"/>
        <w:ind w:left="720"/>
      </w:pPr>
      <w:r/>
      <w:hyperlink r:id="rId14">
        <w:r>
          <w:rPr>
            <w:color w:val="0000EE"/>
            <w:u w:val="single"/>
          </w:rPr>
          <w:t>https://www.eba.europa.eu/publications-and-media/press-releases/eba-amends-its-guidelines-ict-and-security-risk-management-measures-context-dora-application</w:t>
        </w:r>
      </w:hyperlink>
      <w:r>
        <w:t xml:space="preserve"> - The European Banking Authority (EBA) has updated its Guidelines on ICT and security risk management to align with the Digital Operational Resilience Act (DORA), effective from 17 January 2025. These amendments aim to simplify the ICT risk management framework and provide legal clarity, focusing on financial entities such as credit institutions, payment institutions, and exempted e-money institutions. The revised guidelines establish requirements for mitigating and managing ICT and security risks, ensuring a consistent and robust approach across the Single Market.</w:t>
      </w:r>
      <w:r/>
    </w:p>
    <w:p>
      <w:pPr>
        <w:pStyle w:val="ListNumber"/>
        <w:spacing w:line="240" w:lineRule="auto"/>
        <w:ind w:left="720"/>
      </w:pPr>
      <w:r/>
      <w:hyperlink r:id="rId10">
        <w:r>
          <w:rPr>
            <w:color w:val="0000EE"/>
            <w:u w:val="single"/>
          </w:rPr>
          <w:t>https://www.esma.europa.eu/esmas-activities/digital-finance-and-innovation/digital-operational-resilience-act-dora</w:t>
        </w:r>
      </w:hyperlink>
      <w:r>
        <w:t xml:space="preserve"> - The Digital Operational Resilience Act (DORA) is an EU regulation that entered into force on 16 January 2023 and will apply as of 17 January 2025. It aims at strengthening the information and communication technology (ICT) security of financial entities in the remit of the three European Supervisory Authorities (ESAs) and ensuring that the financial sector in Europe remains resilient in the event of severe operational digital disruptions. DORA harmonises rules relating to digital operational resilience for the financial sector, applying to 21 different types of financial entities, of which 12 are under ESMA's remit.</w:t>
      </w:r>
      <w:r/>
    </w:p>
    <w:p>
      <w:pPr>
        <w:pStyle w:val="ListNumber"/>
        <w:spacing w:line="240" w:lineRule="auto"/>
        <w:ind w:left="720"/>
      </w:pPr>
      <w:r/>
      <w:hyperlink r:id="rId12">
        <w:r>
          <w:rPr>
            <w:color w:val="0000EE"/>
            <w:u w:val="single"/>
          </w:rPr>
          <w:t>https://www.eba.europa.eu/activities/direct-supervision-and-oversight/digital-operational-resilience-act</w:t>
        </w:r>
      </w:hyperlink>
      <w:r>
        <w:t xml:space="preserve"> - The Digital Operational Resilience Act (DORA) establishes a comprehensive framework on digital operational resilience for EU financial entities. While all financial sector entities are subject to DORA, ICT third-party providers who supply ICT services to financial entities and are identified as critical (critical third-party providers - CTPPs) will be subject to an EU oversight framework. The DORA oversight framework assigns to the three European Supervisory Authorities (ESAs) the role of Lead Overseer, ensuring that CTPPs are adequately monitored on a pan-European scale for the risks they may pose to the EU financial sector.</w:t>
      </w:r>
      <w:r/>
    </w:p>
    <w:p>
      <w:pPr>
        <w:pStyle w:val="ListNumber"/>
        <w:spacing w:line="240" w:lineRule="auto"/>
        <w:ind w:left="720"/>
      </w:pPr>
      <w:r/>
      <w:hyperlink r:id="rId15">
        <w:r>
          <w:rPr>
            <w:color w:val="0000EE"/>
            <w:u w:val="single"/>
          </w:rPr>
          <w:t>https://www.pwc.com/cz/en/temata/dora-regulation.html</w:t>
        </w:r>
      </w:hyperlink>
      <w:r>
        <w:t xml:space="preserve"> - The Digital Operational Resilience Act (DORA) is a new European framework for effective and comprehensive management of digital risks in financial markets. The framework shifts the focus from only ensuring firms’ financial soundness to also ensuring they can maintain resilient operations even through incidents of severe operational disruption deriving from cybersecurity and ICT issues. DORA introduces a single, consistent, supervisory approach across the relevant sectors, ensuring convergence and harmonisation of security and resilience practices across the EU.</w:t>
      </w:r>
      <w:r/>
    </w:p>
    <w:p>
      <w:pPr>
        <w:pStyle w:val="ListNumber"/>
        <w:spacing w:line="240" w:lineRule="auto"/>
        <w:ind w:left="720"/>
      </w:pPr>
      <w:r/>
      <w:hyperlink r:id="rId11">
        <w:r>
          <w:rPr>
            <w:color w:val="0000EE"/>
            <w:u w:val="single"/>
          </w:rPr>
          <w:t>https://www.eiopa.europa.eu/digital-operational-resilience-act-dora_en</w:t>
        </w:r>
      </w:hyperlink>
      <w:r>
        <w:t xml:space="preserve"> - The Digital Operational Resilience Act (DORA) is a regulation introduced by the European Union to strengthen the digital resilience of financial entities. It entered into application on 17 January 2025 and ensures that banks, insurance companies, investment firms, and other financial entities can withstand, respond to, and recover from ICT (Information and Communication Technology) disruptions, such as cyberattacks or system failures. DORA brings harmonisation to rules relating to operational resilience for the financial sector, applicable to 20 different types of financial entities and ICT third-party service providers.</w:t>
      </w:r>
      <w:r/>
    </w:p>
    <w:p>
      <w:pPr>
        <w:pStyle w:val="ListNumber"/>
        <w:spacing w:line="240" w:lineRule="auto"/>
        <w:ind w:left="720"/>
      </w:pPr>
      <w:r/>
      <w:hyperlink r:id="rId13">
        <w:r>
          <w:rPr>
            <w:color w:val="0000EE"/>
            <w:u w:val="single"/>
          </w:rPr>
          <w:t>https://www.eba.europa.eu/publications-and-media/press-releases/esas-publish-first-set-rules-under-dora-ict-and-third-party</w:t>
        </w:r>
      </w:hyperlink>
      <w:r>
        <w:t xml:space="preserve"> - The three European Supervisory Authorities (EBA, EIOPA, and ESMA – the ESAs) published the first set of final draft technical standards under the Digital Operational Resilience Act (DORA) aimed at enhancing the digital operational resilience of the EU financial sector by strengthening financial entities’ Information and Communication Technology (ICT) and third-party risk management and incident reporting frameworks. The joint final draft technical standards include Regulatory Technical Standards (RTS) on ICT risk management framework and on simplified ICT risk management framework; RTS on criteria for the classification of ICT-related incidents; RTS to specify the policy on ICT services supporting critical or important functions provided by ICT third-party service providers (TPPs); and Implementing Technical Standards (ITS) to establish the templates for the register of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tslaw.es/en/dora-regulation-financial-sector/" TargetMode="External"/><Relationship Id="rId10" Type="http://schemas.openxmlformats.org/officeDocument/2006/relationships/hyperlink" Target="https://www.esma.europa.eu/esmas-activities/digital-finance-and-innovation/digital-operational-resilience-act-dora" TargetMode="External"/><Relationship Id="rId11" Type="http://schemas.openxmlformats.org/officeDocument/2006/relationships/hyperlink" Target="https://www.eiopa.europa.eu/digital-operational-resilience-act-dora_en" TargetMode="External"/><Relationship Id="rId12" Type="http://schemas.openxmlformats.org/officeDocument/2006/relationships/hyperlink" Target="https://www.eba.europa.eu/activities/direct-supervision-and-oversight/digital-operational-resilience-act" TargetMode="External"/><Relationship Id="rId13" Type="http://schemas.openxmlformats.org/officeDocument/2006/relationships/hyperlink" Target="https://www.eba.europa.eu/publications-and-media/press-releases/esas-publish-first-set-rules-under-dora-ict-and-third-party" TargetMode="External"/><Relationship Id="rId14" Type="http://schemas.openxmlformats.org/officeDocument/2006/relationships/hyperlink" Target="https://www.eba.europa.eu/publications-and-media/press-releases/eba-amends-its-guidelines-ict-and-security-risk-management-measures-context-dora-application" TargetMode="External"/><Relationship Id="rId15" Type="http://schemas.openxmlformats.org/officeDocument/2006/relationships/hyperlink" Target="https://www.pwc.com/cz/en/temata/dora-regulation.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