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Oracle's AI infrastructure funding sparks credit market concerns amid high leverage and diverging industry approaches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torrent of corporate bond issuance to fund artificial intelligence infrastructure has exposed divergent financing philosophies among the technology giants , and left Oracle particularly vulnerable. According to the original report, hyperscalers issued $121 billion of bonds in 2025, more than four times the five‑year average, while Oracle alone raised $61.5 billion between 2022 and 2025 to finance acquisitions and a rapid AI buildout. </w:t>
      </w:r>
      <w:hyperlink r:id="rId9">
        <w:r>
          <w:rPr>
            <w:color w:val="0000EE"/>
            <w:u w:val="single"/>
          </w:rPr>
          <w:t>[1]</w:t>
        </w:r>
      </w:hyperlink>
      <w:r/>
    </w:p>
    <w:p>
      <w:r/>
      <w:r>
        <w:t xml:space="preserve">Oracle’s embrace of heavy, on‑balance‑sheet borrowing coincided with a high‑profile partnership with OpenAI that initially brightened investor sentiment but has not, so far, translated into proportionate revenue growth. The company reported record remaining performance obligations (RPO) of $523 billion, yet analysts noted that bookings missed some expectations and that revenue and operating income lagged street forecasts. Oracle’s management has argued the company will need “substantially less” capital than outside estimates to achieve its goals, citing customer‑supplied chips and vendor rental models as partial offsets to upfront spending. Reuters reported that CEO Clay Magouyrk and chairman Larry Ellison flagged such alternative financing approaches around the company’s December earnings. </w:t>
      </w:r>
      <w:hyperlink r:id="rId9">
        <w:r>
          <w:rPr>
            <w:color w:val="0000EE"/>
            <w:u w:val="single"/>
          </w:rPr>
          <w:t>[1]</w:t>
        </w:r>
      </w:hyperlink>
      <w:hyperlink r:id="rId10">
        <w:r>
          <w:rPr>
            <w:color w:val="0000EE"/>
            <w:u w:val="single"/>
          </w:rPr>
          <w:t>[2]</w:t>
        </w:r>
      </w:hyperlink>
      <w:r/>
    </w:p>
    <w:p>
      <w:r/>
      <w:r>
        <w:t xml:space="preserve">Credit markets have reacted sharply. Despite official ratings of Baa2 from Moody’s and BBB from S&amp;P, secondary market pricing and credit default swap spreads widened markedly after Oracle disclosed unexpectedly high capital expenditure guidance , an extra $15 billion for fiscal 2026, lifting total CapEx guidance to $50 billion. Barclays cut its view of Oracle debt to underweight and warned it could fall to BBB‑, and market instruments priced the company closer to junk levels in late 2025. Reuters and the lead analysis both highlighted the post‑earnings share selloff and investor concern over sustainability. </w:t>
      </w:r>
      <w:hyperlink r:id="rId9">
        <w:r>
          <w:rPr>
            <w:color w:val="0000EE"/>
            <w:u w:val="single"/>
          </w:rPr>
          <w:t>[1]</w:t>
        </w:r>
      </w:hyperlink>
      <w:hyperlink r:id="rId10">
        <w:r>
          <w:rPr>
            <w:color w:val="0000EE"/>
            <w:u w:val="single"/>
          </w:rPr>
          <w:t>[2]</w:t>
        </w:r>
      </w:hyperlink>
      <w:r/>
    </w:p>
    <w:p>
      <w:r/>
      <w:r>
        <w:t xml:space="preserve">The leverage picture helps explain that market nervousness. Oracle’s reported $100 billion of total debt sits against a roughly $20 billion equity base, producing a debt‑to‑equity ratio many times higher than its cloud peers. By contrast, Microsoft and Alphabet carry substantially more equity and have far lower ratios despite similar or larger absolute debt loads. Industry filings and company reports show Oracle’s equity position constrains its ability to absorb prolonged negative free cash flow as it scales AI infrastructure. </w:t>
      </w:r>
      <w:hyperlink r:id="rId9">
        <w:r>
          <w:rPr>
            <w:color w:val="0000EE"/>
            <w:u w:val="single"/>
          </w:rPr>
          <w:t>[1]</w:t>
        </w:r>
      </w:hyperlink>
      <w:r/>
    </w:p>
    <w:p>
      <w:r/>
      <w:r>
        <w:t xml:space="preserve">Rating agencies reflect the dilemma but offer differing near‑term judgments. Moody’s affirmed Oracle’s Baa2 rating but moved the outlook to negative, pointing to sustained elevated leverage and negative free cash flow risks as AI buildout progresses. Fitch has at the same time maintained a BBB rating with a stable outlook, noting the company’s multi‑year contracts with large customers and forecasting EBITDA leverage peaking in fiscal 2026 before improving as AI revenues ramp. Those assessments underline a central conditionality: ratings assume the infrastructure investments will yield meaningful future cash flow, not simply prolong higher leverage. </w:t>
      </w:r>
      <w:hyperlink r:id="rId11">
        <w:r>
          <w:rPr>
            <w:color w:val="0000EE"/>
            <w:u w:val="single"/>
          </w:rPr>
          <w:t>[6]</w:t>
        </w:r>
      </w:hyperlink>
      <w:hyperlink r:id="rId12">
        <w:r>
          <w:rPr>
            <w:color w:val="0000EE"/>
            <w:u w:val="single"/>
          </w:rPr>
          <w:t>[7]</w:t>
        </w:r>
      </w:hyperlink>
      <w:r/>
    </w:p>
    <w:p>
      <w:r/>
      <w:r>
        <w:t xml:space="preserve">Part of the problem is concentration risk: projections cited in the lead analysis suggest OpenAI could account for as much as a third of Oracle’s revenue by 2028 if contracted volumes materialise, leaving Oracle exposed if OpenAI shifts providers or faces its own funding constraints. Barclays analysts highlighted this counterparty risk, stressing that a reversal or diversification by large customers would quickly create a revenue shortfall for Oracle. </w:t>
      </w:r>
      <w:hyperlink r:id="rId9">
        <w:r>
          <w:rPr>
            <w:color w:val="0000EE"/>
            <w:u w:val="single"/>
          </w:rPr>
          <w:t>[1]</w:t>
        </w:r>
      </w:hyperlink>
      <w:r/>
    </w:p>
    <w:p>
      <w:r/>
      <w:r>
        <w:t xml:space="preserve">Other hyperscalers have largely avoided loading equivalent debt onto corporate balance sheets by using third‑party funds and joint ventures to finance capacity. The Microsoft‑BlackRock AI Infrastructure Partnership (AIP), expanded with participants such as Nvidia and xAI, channels debt at the fund or SPV level , notably the $40 billion Aligned Data Centers acquisition , leaving most leverage off Microsoft’s 10‑K. Meta’s Blue Owl Capital deal for the Hyperion project is another exemplar: Meta retains a minority equity stake, receives a $3 billion cash payout, and keeps approximately $27 billion of SPV debt off its corporate balance sheet while securing a long‑term lease. Reuters and other reporting show how these structures transfer leverage to investors and private credit vehicles rather than to the technology companies themselves. </w:t>
      </w:r>
      <w:hyperlink r:id="rId13">
        <w:r>
          <w:rPr>
            <w:color w:val="0000EE"/>
            <w:u w:val="single"/>
          </w:rPr>
          <w:t>[5]</w:t>
        </w:r>
      </w:hyperlink>
      <w:hyperlink r:id="rId14">
        <w:r>
          <w:rPr>
            <w:color w:val="0000EE"/>
            <w:u w:val="single"/>
          </w:rPr>
          <w:t>[3]</w:t>
        </w:r>
      </w:hyperlink>
      <w:hyperlink r:id="rId9">
        <w:r>
          <w:rPr>
            <w:color w:val="0000EE"/>
            <w:u w:val="single"/>
          </w:rPr>
          <w:t>[1]</w:t>
        </w:r>
      </w:hyperlink>
      <w:r/>
    </w:p>
    <w:p>
      <w:r/>
      <w:r>
        <w:t xml:space="preserve">That balance‑sheet arbitrage is not merely academic. It preserves credit flexibility for companies like Microsoft and Meta while still providing large-scale access to AI‑optimised facilities. Oracle’s willingness, by contrast, to underwrite the buildout directly increases its refinancing risk: analysts at Barclays warned that, absent a material change in cash generation or funding terms, Oracle could face acute financing pressure by late 2026. The company has pointed to innovative procurement and customer‑aligned models to reduce cash intensity, but rating agencies and bond markets are treating the outcome as uncertain.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The broader market shows private capital and infrastructure funds rapidly mobilising to meet AI demand, often using high levels of fund‑level debt. Deals such as ACS and BlackRock’s €2 billion data centre JV and the widespread activity by private equity and asset managers underscore that most new capacity is being financed in vehicles structured to contain leverage outside corporate accounts. Industry data and recent transactions suggest investors are willing to accept fund‑level risk for predictable, contracted cash flows from large cloud customers, while corporate treasuries increasingly favour preserving their own balance‑sheet health. </w:t>
      </w:r>
      <w:hyperlink r:id="rId15">
        <w:r>
          <w:rPr>
            <w:color w:val="0000EE"/>
            <w:u w:val="single"/>
          </w:rPr>
          <w:t>[4]</w:t>
        </w:r>
      </w:hyperlink>
      <w:hyperlink r:id="rId13">
        <w:r>
          <w:rPr>
            <w:color w:val="0000EE"/>
            <w:u w:val="single"/>
          </w:rPr>
          <w:t>[5]</w:t>
        </w:r>
      </w:hyperlink>
      <w:r/>
    </w:p>
    <w:p>
      <w:r/>
      <w:r>
        <w:t xml:space="preserve">For Oracle, the path forward will hinge on execution of revenue conversion from RPO into sustainable cash flow, management’s ability to deploy alternative financing with partners and customers, and the company’s capacity to manage refinancing risk without diluting equity further or accepting punitive borrowing costs. The choice between carrying debt on the corporate balance sheet or shifting it into third‑party structures has immediate consequences for ratings, bond pricing, and strategic optionality , and in Oracle’s case, the market currently doubts whether the balance is sustainable. </w:t>
      </w:r>
      <w:hyperlink r:id="rId9">
        <w:r>
          <w:rPr>
            <w:color w:val="0000EE"/>
            <w:u w:val="single"/>
          </w:rPr>
          <w:t>[1]</w:t>
        </w:r>
      </w:hyperlink>
      <w:hyperlink r:id="rId11">
        <w:r>
          <w:rPr>
            <w:color w:val="0000EE"/>
            <w:u w:val="single"/>
          </w:rPr>
          <w:t>[6]</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(Tom Tunguz / Lead analysis) - Paragraph 1, Paragraph 2, Paragraph 3, Paragraph 4, Paragraph 6, Paragraph 8, Paragraph 10 </w:t>
      </w:r>
      <w:r/>
    </w:p>
    <w:p>
      <w:pPr>
        <w:pStyle w:val="ListBullet"/>
        <w:spacing w:line="240" w:lineRule="auto"/>
        <w:ind w:left="720"/>
      </w:pPr>
      <w:r/>
      <w:hyperlink r:id="rId10">
        <w:r>
          <w:rPr>
            <w:color w:val="0000EE"/>
            <w:u w:val="single"/>
          </w:rPr>
          <w:t>[2]</w:t>
        </w:r>
      </w:hyperlink>
      <w:r>
        <w:t xml:space="preserve"> (Reuters) - Paragraph 2, Paragraph 3, Paragraph 8 </w:t>
      </w:r>
      <w:r/>
    </w:p>
    <w:p>
      <w:pPr>
        <w:pStyle w:val="ListBullet"/>
        <w:spacing w:line="240" w:lineRule="auto"/>
        <w:ind w:left="720"/>
      </w:pPr>
      <w:r/>
      <w:hyperlink r:id="rId11">
        <w:r>
          <w:rPr>
            <w:color w:val="0000EE"/>
            <w:u w:val="single"/>
          </w:rPr>
          <w:t>[6]</w:t>
        </w:r>
      </w:hyperlink>
      <w:r>
        <w:t xml:space="preserve"> (Investing.com / Fitch report) - Paragraph 5, Paragraph 10 </w:t>
      </w:r>
      <w:r/>
    </w:p>
    <w:p>
      <w:pPr>
        <w:pStyle w:val="ListBullet"/>
        <w:spacing w:line="240" w:lineRule="auto"/>
        <w:ind w:left="720"/>
      </w:pPr>
      <w:r/>
      <w:hyperlink r:id="rId12">
        <w:r>
          <w:rPr>
            <w:color w:val="0000EE"/>
            <w:u w:val="single"/>
          </w:rPr>
          <w:t>[7]</w:t>
        </w:r>
      </w:hyperlink>
      <w:r>
        <w:t xml:space="preserve"> (Investing.com / Moody’s report) - Paragraph 5, Paragraph 8, Paragraph 10 </w:t>
      </w:r>
      <w:r/>
    </w:p>
    <w:p>
      <w:pPr>
        <w:pStyle w:val="ListBullet"/>
        <w:spacing w:line="240" w:lineRule="auto"/>
        <w:ind w:left="720"/>
      </w:pPr>
      <w:r/>
      <w:hyperlink r:id="rId13">
        <w:r>
          <w:rPr>
            <w:color w:val="0000EE"/>
            <w:u w:val="single"/>
          </w:rPr>
          <w:t>[5]</w:t>
        </w:r>
      </w:hyperlink>
      <w:r>
        <w:t xml:space="preserve"> (Reuters / AIP coverage) - Paragraph 7, Paragraph 9 </w:t>
      </w:r>
      <w:r/>
    </w:p>
    <w:p>
      <w:pPr>
        <w:pStyle w:val="ListBullet"/>
        <w:spacing w:line="240" w:lineRule="auto"/>
        <w:ind w:left="720"/>
      </w:pPr>
      <w:r/>
      <w:hyperlink r:id="rId14">
        <w:r>
          <w:rPr>
            <w:color w:val="0000EE"/>
            <w:u w:val="single"/>
          </w:rPr>
          <w:t>[3]</w:t>
        </w:r>
      </w:hyperlink>
      <w:r>
        <w:t xml:space="preserve"> (Reuters / Meta‑Blue Owl Hyperion) - Paragraph 7, Paragraph 9 </w:t>
      </w:r>
      <w:r/>
    </w:p>
    <w:p>
      <w:pPr>
        <w:pStyle w:val="ListBullet"/>
        <w:spacing w:line="240" w:lineRule="auto"/>
        <w:ind w:left="720"/>
      </w:pPr>
      <w:r/>
      <w:hyperlink r:id="rId15">
        <w:r>
          <w:rPr>
            <w:color w:val="0000EE"/>
            <w:u w:val="single"/>
          </w:rPr>
          <w:t>[4]</w:t>
        </w:r>
      </w:hyperlink>
      <w:r>
        <w:t xml:space="preserve"> (Reuters / ACS‑BlackRock JV)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https://tomtunguz.com/is-your-ai-funded-by-junk-bonds/</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https://www.reuters.com/business/retail-consumer/oracle-reports-higher-quarterly-remaining-performance-obligations-2025-12-10/</w:t>
        </w:r>
      </w:hyperlink>
      <w:r>
        <w:t xml:space="preserve"> - Oracle's latest financial forecast disappointed Wall Street as the company predicted lower-than-expected sales and profits, alongside a significant $15 billion increase in capital expenditures for fiscal 2026. This spending surge, tied to Oracle's ambitious efforts to build AI cloud data centers, raised investor concerns about the profitability and sustainability of its AI strategy. As a result, Oracle shares dropped 10% in after-hours trading. The company forecasted third-quarter adjusted earnings per share of $1.64 to $1.68, missing estimates of $1.72, and projected revenue growth of 16%–18%, below expectations of 19.4%. Oracle also underperformed on cloud sales and future contract commitments, reporting $523 billion—short of analyst expectations of $526 billion. Despite posting a strong second-quarter profit of $2.26 per share, largely due to a one-time $2.7 billion gain from selling its stake in Ampere Computing, performance metrics like revenue and operating income still missed targets. Oracle CEO Clay Magouyrk indicated that alternative financing models for cloud infrastructure are being explored, including customer-provided chips and vendor-rented capacity. Chairman Larry Ellison emphasized the company’s move towards chip neutrality to meet diverse customer needs.</w:t>
      </w:r>
      <w:r/>
    </w:p>
    <w:p>
      <w:pPr>
        <w:pStyle w:val="ListNumber"/>
        <w:spacing w:line="240" w:lineRule="auto"/>
        <w:ind w:left="720"/>
      </w:pPr>
      <w:r/>
      <w:hyperlink r:id="rId14">
        <w:r>
          <w:rPr>
            <w:color w:val="0000EE"/>
            <w:u w:val="single"/>
          </w:rPr>
          <w:t>https://www.reuters.com/technology/meta-forms-joint-venture-with-blue-owl-capital-louisiana-data-center-2025-10-21/</w:t>
        </w:r>
      </w:hyperlink>
      <w:r>
        <w:t xml:space="preserve"> - Meta has entered into a $27 billion financing agreement with Blue Owl Capital to fund its largest data center project globally, located in Richland Parish, Louisiana. Named Hyperion, the facility is expected to provide over 2 gigawatts of compute capacity to support AI development, particularly large language model training. The deal, Meta’s largest private capital arrangement, gives the company a 20% equity stake while Blue Owl Capital, contributing $7 billion in cash, holds the majority. Meta will receive a $3 billion one-time payout as part of the joint venture. This strategic move enables Meta to reduce financial risk and capital expenditure, while securing critical infrastructure for its AI growth. Meta has signed an initial four-year lease on the site with an option to extend, and the facility is projected to create over 500 jobs. Amid surging demand for AI infrastructure, tech giants including Alphabet, Amazon, Microsoft, and CoreWeave are expected to spend $400 billion this year, with OpenAI alone aiming to secure 26 gigawatts of capacity. Blue Owl’s leadership hailed the Hyperion project as essential to the scale and speed of next-generation AI infrastructure.</w:t>
      </w:r>
      <w:r/>
    </w:p>
    <w:p>
      <w:pPr>
        <w:pStyle w:val="ListNumber"/>
        <w:spacing w:line="240" w:lineRule="auto"/>
        <w:ind w:left="720"/>
      </w:pPr>
      <w:r/>
      <w:hyperlink r:id="rId15">
        <w:r>
          <w:rPr>
            <w:color w:val="0000EE"/>
            <w:u w:val="single"/>
          </w:rPr>
          <w:t>https://www.reuters.com/business/acs-blackrock-launch-2-billion-euro-data-centre-joint-venture-2025-11-14/</w:t>
        </w:r>
      </w:hyperlink>
      <w:r>
        <w:t xml:space="preserve"> - Spain's ACS and BlackRock's Global Infrastructure Partners are launching a joint venture to develop a €2 billion ($2.33 billion) portfolio of data centres with a total capacity of 1.7 GW. Both firms will hold a 50% stake in the venture, which will provide ACS with a €100 million capital gain. The platform will include ACS's existing international portfolio and a pipeline exceeding 11 GW in potential projects across North America, Europe, and Asia-Pacific. As part of the agreement, the partners will initially invest around €1 billion, with up to €1 billion more in variable payments contingent on project commercialization milestones. An additional €200 million may follow from ongoing project analyses. ACS has already built over 5.5 GW of data centre capacity globally. The deal may eventually scale to €23 billion, with €5 billion in equity and €18 billion in debt, according to newspaper Expansion.</w:t>
      </w:r>
      <w:r/>
    </w:p>
    <w:p>
      <w:pPr>
        <w:pStyle w:val="ListNumber"/>
        <w:spacing w:line="240" w:lineRule="auto"/>
        <w:ind w:left="720"/>
      </w:pPr>
      <w:r/>
      <w:hyperlink r:id="rId13">
        <w:r>
          <w:rPr>
            <w:color w:val="0000EE"/>
            <w:u w:val="single"/>
          </w:rPr>
          <w:t>https://www.reuters.com/technology/artificial-intelligence/nvidia-xai-join-microsoft-blackrock-develop-ai-infrastructure-2025-03-19/</w:t>
        </w:r>
      </w:hyperlink>
      <w:r>
        <w:t xml:space="preserve"> - Nvidia and Elon Musk's xAI have joined a major AI infrastructure consortium originally formed in 2024 and backed by Microsoft and BlackRock. Now called the AI Infrastructure Partnership (AIP), the group aims to significantly expand artificial intelligence infrastructure in the U.S., particularly through investments in data centers and energy systems required to power AI technologies like ChatGPT. The consortium’s initial target includes more than $30 billion in investment, with ambitions to mobilize up to $100 billion through a mix of equity and debt financing from investors and corporations. This development comes on the heels of former President Donald Trump’s Stargate initiative, which plans to raise up to $500 billion for AI infrastructure in partnership with SoftBank, OpenAI, and Oracle. Key AIP participants include Abu Dhabi’s MGX, GE Vernova, NextEra Energy, and BlackRock's Global Infrastructure Partners. Nvidia will continue as a technical advisor. AIP plans to prioritize work with U.S. and OECD partners, with a focus on high-efficiency energy solutions to meet the soaring computing power demands created by AI development.</w:t>
      </w:r>
      <w:r/>
    </w:p>
    <w:p>
      <w:pPr>
        <w:pStyle w:val="ListNumber"/>
        <w:spacing w:line="240" w:lineRule="auto"/>
        <w:ind w:left="720"/>
      </w:pPr>
      <w:r/>
      <w:hyperlink r:id="rId11">
        <w:r>
          <w:rPr>
            <w:color w:val="0000EE"/>
            <w:u w:val="single"/>
          </w:rPr>
          <w:t>https://www.investing.com/news/stock-market-news/fitch-affirms-oracles-bbb-rating-amid-ai-infrastructure-investments-93CH-4284489</w:t>
        </w:r>
      </w:hyperlink>
      <w:r>
        <w:t xml:space="preserve"> - Fitch Ratings has maintained Oracle Corporation’s Long-Term Issuer Default Rating (IDR) at ’BBB’ with a Stable outlook, while also affirming its Short-Term IDR and commercial paper rating at ’F2’. The rating agency acknowledged Oracle’s significant investments in AI compute infrastructure, which are tied to multi-year commercial contracts with major customers including OpenAI, xAI and Meta. These investments are expected to exceed Oracle’s internal free cash flow generation in the near term. Fitch forecasts Oracle’s EBITDA leverage will approach 3.5x in fiscal 2026 before declining meaningfully in fiscal 2028 as revenue and EBITDA from AI compute infrastructure begin to materialize. The company is expected to raise additional debt to fund its capital expenditure needs.</w:t>
      </w:r>
      <w:r/>
    </w:p>
    <w:p>
      <w:pPr>
        <w:pStyle w:val="ListNumber"/>
        <w:spacing w:line="240" w:lineRule="auto"/>
        <w:ind w:left="720"/>
      </w:pPr>
      <w:r/>
      <w:hyperlink r:id="rId12">
        <w:r>
          <w:rPr>
            <w:color w:val="0000EE"/>
            <w:u w:val="single"/>
          </w:rPr>
          <w:t>https://www.investing.com/news/stock-market-news/moodys-revises-oracles-outlook-to-negative-amid-ai-expansion-93CH-4155891</w:t>
        </w:r>
      </w:hyperlink>
      <w:r>
        <w:t xml:space="preserve"> - Moody’s Ratings has affirmed Oracle Corporation (NYSE:ORCL)’s Baa2 senior unsecured rating and P-2 commercial paper rating while revising the outlook to negative from stable. The outlook change reflects expectations of continuing elevated leverage and increasingly negative free cash flow as Oracle significantly expands its AI infrastructure business, according to Moody’s announcement on Monday. 'While scaling up to be a major provider of AI infrastructure has the potential to drive dramatic growth and solid profitability, capital expenditure requirements will likely also drive significant negative free cash flow and liability growth as the AI business builds out,' said Moody’s Senior Credit Officer Matthew Jones. The cash flow challenges are compounded by Oracle’s substantial existing debt obligations, dividend payments, and core cloud business expenditures.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mtunguz.com/is-your-ai-funded-by-junk-bonds/" TargetMode="External"/><Relationship Id="rId10" Type="http://schemas.openxmlformats.org/officeDocument/2006/relationships/hyperlink" Target="https://www.reuters.com/business/retail-consumer/oracle-reports-higher-quarterly-remaining-performance-obligations-2025-12-10/" TargetMode="External"/><Relationship Id="rId11" Type="http://schemas.openxmlformats.org/officeDocument/2006/relationships/hyperlink" Target="https://www.investing.com/news/stock-market-news/fitch-affirms-oracles-bbb-rating-amid-ai-infrastructure-investments-93CH-4284489" TargetMode="External"/><Relationship Id="rId12" Type="http://schemas.openxmlformats.org/officeDocument/2006/relationships/hyperlink" Target="https://www.investing.com/news/stock-market-news/moodys-revises-oracles-outlook-to-negative-amid-ai-expansion-93CH-4155891" TargetMode="External"/><Relationship Id="rId13" Type="http://schemas.openxmlformats.org/officeDocument/2006/relationships/hyperlink" Target="https://www.reuters.com/technology/artificial-intelligence/nvidia-xai-join-microsoft-blackrock-develop-ai-infrastructure-2025-03-19/" TargetMode="External"/><Relationship Id="rId14" Type="http://schemas.openxmlformats.org/officeDocument/2006/relationships/hyperlink" Target="https://www.reuters.com/technology/meta-forms-joint-venture-with-blue-owl-capital-louisiana-data-center-2025-10-21/" TargetMode="External"/><Relationship Id="rId15" Type="http://schemas.openxmlformats.org/officeDocument/2006/relationships/hyperlink" Target="https://www.reuters.com/business/acs-blackrock-launch-2-billion-euro-data-centre-joint-venture-2025-11-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