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ServiceNow's potential $7 billion acquisition of Armis signals a major shift in enterprise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ServiceNow is in advanced talks to acquire Armis, the agentless device-security specialist, in a deal that could be worth up to $7 billion, according to reporting that has rattled the cybersecurity and enterprise‑software markets. The purchase would extend ServiceNow’s push into security by folding Armis’ real‑time visibility and exposure‑management capabilities for IT, IoT, OT and medical devices into its platform, and would follow recent moves by the company to broaden identity and security offerings. Industry observers say the deal would deepen ServiceNow’s foothold in mission‑critical asset management and incident response at a time when distributed device estates are proliferating.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Armis, founded in 2016 and said to serve a large portion of the Fortune 100, has been scaling its valuation and product set in recent years; the company was previously valued around $6.1 billion after funding rounds and has positioned itself as complementary to ServiceNow’s Configuration Management Database and workflow automation. A union of the two vendors would be read by investors as a bet on converged IT and security operations, and could accelerate customer adoption of unified asset‑and‑security management across cloud and edge environments. Negotiations, however, remain subject to customary risks: talks may fall apart or attract competing bidders. </w:t>
      </w:r>
      <w:hyperlink r:id="rId10">
        <w:r>
          <w:rPr>
            <w:color w:val="0000EE"/>
            <w:u w:val="single"/>
          </w:rPr>
          <w:t>[2]</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The reported ServiceNow interest sits within a broader corporate M&amp;A and market backdrop where storage and infrastructure names have been standout performers. Cisco recently reached a record share price not seen since the dotcom era, reflecting renewed investor appetite for networking, security and AI‑aligned infrastructure. Meanwhile, Seagate and Western Digital’s strong 2025 runs have earned them places in the Nasdaq 100, underscoring the market’s focus on storage as a strategic pillar for AI workloads. Those movements help explain heightened consolidation activity among vendors seeking scale and platform leverage. </w:t>
      </w:r>
      <w:hyperlink r:id="rId9">
        <w:r>
          <w:rPr>
            <w:color w:val="0000EE"/>
            <w:u w:val="single"/>
          </w:rPr>
          <w:t>[1]</w:t>
        </w:r>
      </w:hyperlink>
      <w:r/>
    </w:p>
    <w:p>
      <w:r/>
      <w:r>
        <w:t xml:space="preserve">In a separate talent‑and‑compensation development that highlights the arms race for AI engineers, OpenAI has reportedly removed the six‑month vesting cliff for new employees’ equity awards. The internal change eliminates the initial retention hurdle that previously withheld all equity vesting for six months, a step observers interpret as an effort to make offers more attractive amid fierce competition from hyperscalers and other AI startups. Reports indicate OpenAI plans substantial stock‑based pay in 2025 , figures cited put the allocation around $6 billion , a level that industry analysts say will intensify scrutiny over dilution, cost sustainability and governance. The company’s move feeds broader debate about how AI firms balance aggressive hiring incentives with long‑term capital discipline. </w:t>
      </w:r>
      <w:hyperlink r:id="rId9">
        <w:r>
          <w:rPr>
            <w:color w:val="0000EE"/>
            <w:u w:val="single"/>
          </w:rPr>
          <w:t>[1]</w:t>
        </w:r>
      </w:hyperlink>
      <w:hyperlink r:id="rId14">
        <w:r>
          <w:rPr>
            <w:color w:val="0000EE"/>
            <w:u w:val="single"/>
          </w:rPr>
          <w:t>[3]</w:t>
        </w:r>
      </w:hyperlink>
      <w:hyperlink r:id="rId15">
        <w:r>
          <w:rPr>
            <w:color w:val="0000EE"/>
            <w:u w:val="single"/>
          </w:rPr>
          <w:t>[7]</w:t>
        </w:r>
      </w:hyperlink>
      <w:r/>
    </w:p>
    <w:p>
      <w:r/>
      <w:r>
        <w:t xml:space="preserve">Those corporate dynamics are occurring against an increasingly contested regulatory and geopolitical terrain. Legal scholars and commentators have warned that recent executive actions on AI framed around interstate commerce may raise constitutional questions and provoke state‑federal clashes, particularly where executives attempt to pre-empt locally enacted tech rules without congressional backing. The potential for protracted litigation complicates the policy environment in which firms are designing safety, disclosure and workforce practices. </w:t>
      </w:r>
      <w:hyperlink r:id="rId9">
        <w:r>
          <w:rPr>
            <w:color w:val="0000EE"/>
            <w:u w:val="single"/>
          </w:rPr>
          <w:t>[1]</w:t>
        </w:r>
      </w:hyperlink>
      <w:r/>
    </w:p>
    <w:p>
      <w:r/>
      <w:r>
        <w:t xml:space="preserve">Regulatory realignments are visible in crypto markets as well: the Commodity Futures Trading Commission has withdrawn its 2020 guidance on “actual delivery” for digital assets, a move reported to reduce interpretive uncertainty and potentially broaden institutional access to regulated crypto markets. At the same time, US cyber policy discussions reportedly include proposals to involve private firms more directly in offensive cyber operations against foreign adversaries , a prospect that raises urgent legal and ethical questions about the proper boundaries between state action and commercial activity. </w:t>
      </w:r>
      <w:hyperlink r:id="rId9">
        <w:r>
          <w:rPr>
            <w:color w:val="0000EE"/>
            <w:u w:val="single"/>
          </w:rPr>
          <w:t>[1]</w:t>
        </w:r>
      </w:hyperlink>
      <w:r/>
    </w:p>
    <w:p>
      <w:r/>
      <w:r>
        <w:t xml:space="preserve">The commercial ecosystem around generative AI and creative content also faces friction. Google removed dozens of AI‑generated videos after a complaint from Disney, illustrating the tensions between new generative capabilities and long‑standing copyright and intellectual‑property protections. Meanwhile, firms such as Oracle have become central infrastructure partners for large AI deployments under major cloud and model‑supply agreements, further concentrating strategic influence in a handful of enterprise vendors. </w:t>
      </w:r>
      <w:hyperlink r:id="rId9">
        <w:r>
          <w:rPr>
            <w:color w:val="0000EE"/>
            <w:u w:val="single"/>
          </w:rPr>
          <w:t>[1]</w:t>
        </w:r>
      </w:hyperlink>
      <w:r/>
    </w:p>
    <w:p>
      <w:r/>
      <w:r>
        <w:t xml:space="preserve">Market signals this month have been volatile: Broadcom suffered a sharp share decline following softer‑than‑expected AI‑related sales guidance, while other companies tied to AI infrastructure and storage have seen notable appreciation. At the same time, investors and private‑markets participants are debating whether more retail access to stakes in private AI companies is desirable or prudent, as valuation, liquidity and governance risks remain substantial. </w:t>
      </w:r>
      <w:hyperlink r:id="rId9">
        <w:r>
          <w:rPr>
            <w:color w:val="0000EE"/>
            <w:u w:val="single"/>
          </w:rPr>
          <w:t>[1]</w:t>
        </w:r>
      </w:hyperlink>
      <w:r/>
    </w:p>
    <w:p>
      <w:r/>
      <w:r>
        <w:t xml:space="preserve">The broader technology landscape remains plural and regionally varied. Europe’s semiconductor champion ASML continues to drive plans for next‑generation High NA EUV production, while China is visibly diversifying industrial strategy beyond AI into electric vehicles and robotics , moves that analysts say are intended to secure longer‑term manufacturing and export advantages. Meanwhile, municipal and public‑sector projects in the US report staffing and scheduling pressures as the AI data‑centre build‑out captures skilled labour, suggesting that the economic effects of the AI investment wave are uneven across sectors.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(Smartphonology) - Paragraph 1, Paragraph 2, Paragraph 3, Paragraph 4, Paragraph 5, Paragraph 6, Paragraph 7, Paragraph 8, Paragraph 9</w:t>
      </w:r>
      <w:r/>
    </w:p>
    <w:p>
      <w:pPr>
        <w:pStyle w:val="ListBullet"/>
        <w:spacing w:line="240" w:lineRule="auto"/>
        <w:ind w:left="720"/>
      </w:pPr>
      <w:r/>
      <w:hyperlink r:id="rId10">
        <w:r>
          <w:rPr>
            <w:color w:val="0000EE"/>
            <w:u w:val="single"/>
          </w:rPr>
          <w:t>[2]</w:t>
        </w:r>
      </w:hyperlink>
      <w:r>
        <w:t xml:space="preserve"> (Yahoo Finance) - Paragraph 1, Paragraph 2</w:t>
      </w:r>
      <w:r/>
    </w:p>
    <w:p>
      <w:pPr>
        <w:pStyle w:val="ListBullet"/>
        <w:spacing w:line="240" w:lineRule="auto"/>
        <w:ind w:left="720"/>
      </w:pPr>
      <w:r/>
      <w:hyperlink r:id="rId14">
        <w:r>
          <w:rPr>
            <w:color w:val="0000EE"/>
            <w:u w:val="single"/>
          </w:rPr>
          <w:t>[3]</w:t>
        </w:r>
      </w:hyperlink>
      <w:r>
        <w:t xml:space="preserve"> (Benzinga) - Paragraph 4</w:t>
      </w:r>
      <w:r/>
    </w:p>
    <w:p>
      <w:pPr>
        <w:pStyle w:val="ListBullet"/>
        <w:spacing w:line="240" w:lineRule="auto"/>
        <w:ind w:left="720"/>
      </w:pPr>
      <w:r/>
      <w:hyperlink r:id="rId11">
        <w:r>
          <w:rPr>
            <w:color w:val="0000EE"/>
            <w:u w:val="single"/>
          </w:rPr>
          <w:t>[4]</w:t>
        </w:r>
      </w:hyperlink>
      <w:r>
        <w:t xml:space="preserve"> (CRN) - Paragraph 1, Paragraph 2</w:t>
      </w:r>
      <w:r/>
    </w:p>
    <w:p>
      <w:pPr>
        <w:pStyle w:val="ListBullet"/>
        <w:spacing w:line="240" w:lineRule="auto"/>
        <w:ind w:left="720"/>
      </w:pPr>
      <w:r/>
      <w:hyperlink r:id="rId12">
        <w:r>
          <w:rPr>
            <w:color w:val="0000EE"/>
            <w:u w:val="single"/>
          </w:rPr>
          <w:t>[5]</w:t>
        </w:r>
      </w:hyperlink>
      <w:r>
        <w:t xml:space="preserve"> (Armis partner brief) - Paragraph 2</w:t>
      </w:r>
      <w:r/>
    </w:p>
    <w:p>
      <w:pPr>
        <w:pStyle w:val="ListBullet"/>
        <w:spacing w:line="240" w:lineRule="auto"/>
        <w:ind w:left="720"/>
      </w:pPr>
      <w:r/>
      <w:hyperlink r:id="rId13">
        <w:r>
          <w:rPr>
            <w:color w:val="0000EE"/>
            <w:u w:val="single"/>
          </w:rPr>
          <w:t>[6]</w:t>
        </w:r>
      </w:hyperlink>
      <w:r>
        <w:t xml:space="preserve"> (Armis service page) - Paragraph 2</w:t>
      </w:r>
      <w:r/>
    </w:p>
    <w:p>
      <w:pPr>
        <w:pStyle w:val="ListBullet"/>
        <w:spacing w:line="240" w:lineRule="auto"/>
        <w:ind w:left="720"/>
      </w:pPr>
      <w:r/>
      <w:hyperlink r:id="rId15">
        <w:r>
          <w:rPr>
            <w:color w:val="0000EE"/>
            <w:u w:val="single"/>
          </w:rPr>
          <w:t>[7]</w:t>
        </w:r>
      </w:hyperlink>
      <w:r>
        <w:t xml:space="preserve"> (AInvest)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https://www.smartphonology.it/le-notizie-tech-del-15-dicembre-servicenow-tratta-lacquisizione-di-armis-openai-rivede-le-regole-sullequity/</w:t>
        </w:r>
      </w:hyperlink>
      <w:r>
        <w:t xml:space="preserve"> - Please view link - unable to able to access data</w:t>
      </w:r>
      <w:r/>
    </w:p>
    <w:p>
      <w:pPr>
        <w:pStyle w:val="ListNumber"/>
        <w:spacing w:line="240" w:lineRule="auto"/>
        <w:ind w:left="720"/>
      </w:pPr>
      <w:r/>
      <w:hyperlink r:id="rId10">
        <w:r>
          <w:rPr>
            <w:color w:val="0000EE"/>
            <w:u w:val="single"/>
          </w:rPr>
          <w:t>https://finance.yahoo.com/news/servicenow-near-deal-buy-cybersecurity-003611811.html</w:t>
        </w:r>
      </w:hyperlink>
      <w:r>
        <w:t xml:space="preserve"> - ServiceNow is reportedly in advanced negotiations to acquire Armis, a cybersecurity startup, for up to $7 billion. Armis, founded in 2016, specializes in securing connected devices in real time and serves over 40% of Fortune 100 companies. The acquisition aims to bolster ServiceNow's security offerings amid increasing demand for advanced digital security services. The deal is expected to be announced soon, though talks may still fall through or attract other bidders.</w:t>
      </w:r>
      <w:r/>
    </w:p>
    <w:p>
      <w:pPr>
        <w:pStyle w:val="ListNumber"/>
        <w:spacing w:line="240" w:lineRule="auto"/>
        <w:ind w:left="720"/>
      </w:pPr>
      <w:r/>
      <w:hyperlink r:id="rId14">
        <w:r>
          <w:rPr>
            <w:color w:val="0000EE"/>
            <w:u w:val="single"/>
          </w:rPr>
          <w:t>https://www.benzinga.com/markets/tech/25/12/49382203/openai-ends-vesting-cliff-for-employee-stock-options-again-as-competition-for-top-tier-talent-intensifies-report</w:t>
        </w:r>
      </w:hyperlink>
      <w:r>
        <w:t xml:space="preserve"> - OpenAI has reportedly eliminated the six-month vesting cliff for new employees' stock options, reducing the waiting period to six months from the typical 12-month industry standard. This move aims to attract top AI talent amid intense competition from companies like Meta and Alphabet. OpenAI plans to allocate approximately $6 billion in stock-based compensation in 2025, nearly half of its projected revenue, highlighting the company's commitment to competitive compensation packages.</w:t>
      </w:r>
      <w:r/>
    </w:p>
    <w:p>
      <w:pPr>
        <w:pStyle w:val="ListNumber"/>
        <w:spacing w:line="240" w:lineRule="auto"/>
        <w:ind w:left="720"/>
      </w:pPr>
      <w:r/>
      <w:hyperlink r:id="rId11">
        <w:r>
          <w:rPr>
            <w:color w:val="0000EE"/>
            <w:u w:val="single"/>
          </w:rPr>
          <w:t>https://www.crn.com/news/security/2025/servicenow-seeking-7b-acquisition-of-exposure-management-vendor-armis-report</w:t>
        </w:r>
      </w:hyperlink>
      <w:r>
        <w:t xml:space="preserve"> - ServiceNow is reportedly seeking to acquire Armis, a cybersecurity firm specializing in exposure management, for approximately $7 billion. Armis has been expanding its capabilities, including a recent funding round that valued the company at $6.1 billion. The acquisition would enhance ServiceNow's security platform, complementing its recent agreement to acquire identity security startup Veza. Armis' expertise in device security aligns with ServiceNow's strategy to bolster its security offerings.</w:t>
      </w:r>
      <w:r/>
    </w:p>
    <w:p>
      <w:pPr>
        <w:pStyle w:val="ListNumber"/>
        <w:spacing w:line="240" w:lineRule="auto"/>
        <w:ind w:left="720"/>
      </w:pPr>
      <w:r/>
      <w:hyperlink r:id="rId12">
        <w:r>
          <w:rPr>
            <w:color w:val="0000EE"/>
            <w:u w:val="single"/>
          </w:rPr>
          <w:t>https://www.armis.com/partner-briefs/the-armis-and-servicenow-partnership/</w:t>
        </w:r>
      </w:hyperlink>
      <w:r>
        <w:t xml:space="preserve"> - Armis and ServiceNow have formed a strategic partnership to provide comprehensive visibility, security, and management across diverse device ecosystems, including IT, IoT, OT, and IoMT. This collaboration enables organizations to achieve deep insights into their asset inventory, facilitating informed decision-making and strategic planning. By integrating Armis' capabilities with ServiceNow's Configuration Management Database (CMDB), the partnership aims to unify all assets under a cohesive framework, enhancing business operations and fortifying security posture.</w:t>
      </w:r>
      <w:r/>
    </w:p>
    <w:p>
      <w:pPr>
        <w:pStyle w:val="ListNumber"/>
        <w:spacing w:line="240" w:lineRule="auto"/>
        <w:ind w:left="720"/>
      </w:pPr>
      <w:r/>
      <w:hyperlink r:id="rId13">
        <w:r>
          <w:rPr>
            <w:color w:val="0000EE"/>
            <w:u w:val="single"/>
          </w:rPr>
          <w:t>https://www.armis.com/servicenow/</w:t>
        </w:r>
      </w:hyperlink>
      <w:r>
        <w:t xml:space="preserve"> - Armis offers an agentless, enterprise-class device security platform designed to address the new threat landscape of unmanaged and IoT devices. The platform discovers every asset in an environment, analyzes device behavior to identify risks or attacks, and protects critical business information and systems. Integrated with ServiceNow's CMDB, Armis provides a unified cybersecurity asset management solution for any managed, unmanaged, IoT, medical, and OT device, ensuring continuous, reliable device visibility and automated incident response.</w:t>
      </w:r>
      <w:r/>
    </w:p>
    <w:p>
      <w:pPr>
        <w:pStyle w:val="ListNumber"/>
        <w:spacing w:line="240" w:lineRule="auto"/>
        <w:ind w:left="720"/>
      </w:pPr>
      <w:r/>
      <w:hyperlink r:id="rId15">
        <w:r>
          <w:rPr>
            <w:color w:val="0000EE"/>
            <w:u w:val="single"/>
          </w:rPr>
          <w:t>https://www.ainvest.com/news/openai-accelerated-stock-vesting-regulatory-dilution-risks-talent-competition-2512/</w:t>
        </w:r>
      </w:hyperlink>
      <w:r>
        <w:t xml:space="preserve"> - OpenAI has eliminated the six-month vesting cliff for new employees' stock options, reducing the waiting period to six months from the typical 12-month industry standard. This move aims to attract top AI talent amid intense competition from companies like Meta and Alphabet. OpenAI plans to allocate approximately $6 billion in stock-based compensation in 2025, nearly half of its projected revenue, highlighting the company's commitment to competitive compensation packages. However, this approach may raise regulatory and dilution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phonology.it/le-notizie-tech-del-15-dicembre-servicenow-tratta-lacquisizione-di-armis-openai-rivede-le-regole-sullequity/" TargetMode="External"/><Relationship Id="rId10" Type="http://schemas.openxmlformats.org/officeDocument/2006/relationships/hyperlink" Target="https://finance.yahoo.com/news/servicenow-near-deal-buy-cybersecurity-003611811.html" TargetMode="External"/><Relationship Id="rId11" Type="http://schemas.openxmlformats.org/officeDocument/2006/relationships/hyperlink" Target="https://www.crn.com/news/security/2025/servicenow-seeking-7b-acquisition-of-exposure-management-vendor-armis-report" TargetMode="External"/><Relationship Id="rId12" Type="http://schemas.openxmlformats.org/officeDocument/2006/relationships/hyperlink" Target="https://www.armis.com/partner-briefs/the-armis-and-servicenow-partnership/" TargetMode="External"/><Relationship Id="rId13" Type="http://schemas.openxmlformats.org/officeDocument/2006/relationships/hyperlink" Target="https://www.armis.com/servicenow/" TargetMode="External"/><Relationship Id="rId14" Type="http://schemas.openxmlformats.org/officeDocument/2006/relationships/hyperlink" Target="https://www.benzinga.com/markets/tech/25/12/49382203/openai-ends-vesting-cliff-for-employee-stock-options-again-as-competition-for-top-tier-talent-intensifies-report" TargetMode="External"/><Relationship Id="rId15" Type="http://schemas.openxmlformats.org/officeDocument/2006/relationships/hyperlink" Target="https://www.ainvest.com/news/openai-accelerated-stock-vesting-regulatory-dilution-risks-talent-competition-25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