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multi-agent systems transforms enterprise AI architecture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age of the single, all-knowing model , the "brain-in-a-jar" approach to enterprise AI , is giving way to a more modular, team-based architecture built from multiple specialised agents. According to the original report, organisations that moved past proof-of-concept LLM projects found a ceiling: models are strong at knowledge work but weak at reliable, stateful execution across complex workflows. </w:t>
      </w:r>
      <w:hyperlink r:id="rId9">
        <w:r>
          <w:rPr>
            <w:color w:val="0000EE"/>
            <w:u w:val="single"/>
          </w:rPr>
          <w:t>[1]</w:t>
        </w:r>
      </w:hyperlink>
      <w:r/>
    </w:p>
    <w:p>
      <w:r/>
      <w:r>
        <w:t xml:space="preserve">That limitation has reframed design thinking around Multi-Agent Systems (MAS), where composable specialists , a "research agent," a "payments agent," a "compliance agent" , collaborate under a coordinating layer. Industry thinking now treats MAS as the "microservices" moment for AI: a move toward distributed responsibility, resilience and clearer lines of governance, rather than a single monolithic model trying to do everything. IBM and AI21 both note MAS deliver scalability, adaptability and task decomposition that monolithic approaches struggle to match.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Three emerging architectural archetypes define how organisations assemble agent teams. Stateful graph execution provides durable checkpoints and retriable nodes for long-running, auditable processes; conversational swarms enable emergent problem-solving through free-form agent dialog; and role-based sequencing offers fast prototyping with persona-driven linear flows. Each pattern trades off determinism, governance and experimentation speed in different ways, making framework choice an explicit architectural commitment. The original report lays out these trade-offs and their enterprise implications. </w:t>
      </w:r>
      <w:hyperlink r:id="rId9">
        <w:r>
          <w:rPr>
            <w:color w:val="0000EE"/>
            <w:u w:val="single"/>
          </w:rPr>
          <w:t>[1]</w:t>
        </w:r>
      </w:hyperlink>
      <w:r/>
    </w:p>
    <w:p>
      <w:r/>
      <w:r>
        <w:t xml:space="preserve">A recurrent imperative is where agent code actually runs. The report emphasises that any agent capable of writing or executing code increases attack surface and business risk, so production deployments require hardened, isolated runtimes, strict least-privilege access and credential vaulting. This governance-first stance echoes vendor and platform guidance that process-level sandboxing, micro-virtualisation or WebAssembly runtimes are preferable to naïve containerisation when agents can act on live systems. </w:t>
      </w:r>
      <w:hyperlink r:id="rId9">
        <w:r>
          <w:rPr>
            <w:color w:val="0000EE"/>
            <w:u w:val="single"/>
          </w:rPr>
          <w:t>[1]</w:t>
        </w:r>
      </w:hyperlink>
      <w:hyperlink r:id="rId12">
        <w:r>
          <w:rPr>
            <w:color w:val="0000EE"/>
            <w:u w:val="single"/>
          </w:rPr>
          <w:t>[5]</w:t>
        </w:r>
      </w:hyperlink>
      <w:r/>
    </w:p>
    <w:p>
      <w:r/>
      <w:r>
        <w:t xml:space="preserve">Interoperability is the other foundational concern. Moving beyond bespoke agent silos demands a protocol stack that lets agents discover each other, negotiate sessions and call tools with well-defined schemas. The report describes an emerging "Agentic Protocol Stack" , including Agent2Agent discovery and a Model Context Protocol for tool signatures , that aims to reduce vendor lock-in and allow a finance agent, for example, to reliably call a supply-chain agent's getInventoryReport. Platform vendors and standards stewards are already working in this space. </w:t>
      </w:r>
      <w:hyperlink r:id="rId9">
        <w:r>
          <w:rPr>
            <w:color w:val="0000EE"/>
            <w:u w:val="single"/>
          </w:rPr>
          <w:t>[1]</w:t>
        </w:r>
      </w:hyperlink>
      <w:hyperlink r:id="rId13">
        <w:r>
          <w:rPr>
            <w:color w:val="0000EE"/>
            <w:u w:val="single"/>
          </w:rPr>
          <w:t>[4]</w:t>
        </w:r>
      </w:hyperlink>
      <w:r/>
    </w:p>
    <w:p>
      <w:r/>
      <w:r>
        <w:t xml:space="preserve">Real-world examples show how these elements combine. The report profiles Redscope.ai , a 2025 initiative that assembles planner, intent, content, demo and summary agents to convert website visitors proactively , illustrating how stateful coordination and specialised roles can turn a passive site into a 24/7 conversion engine. Other vendors and consultancies described in the related summaries offer comparable approaches: specialist MAS vendors build orchestrated workflows for decision-heavy domains while enterprise platforms embed orchestration and shared memory to maintain continuity across sessions. </w:t>
      </w:r>
      <w:hyperlink r:id="rId9">
        <w:r>
          <w:rPr>
            <w:color w:val="0000EE"/>
            <w:u w:val="single"/>
          </w:rPr>
          <w:t>[1]</w:t>
        </w:r>
      </w:hyperlink>
      <w:hyperlink r:id="rId12">
        <w:r>
          <w:rPr>
            <w:color w:val="0000EE"/>
            <w:u w:val="single"/>
          </w:rPr>
          <w:t>[5]</w:t>
        </w:r>
      </w:hyperlink>
      <w:hyperlink r:id="rId14">
        <w:r>
          <w:rPr>
            <w:color w:val="0000EE"/>
            <w:u w:val="single"/>
          </w:rPr>
          <w:t>[6]</w:t>
        </w:r>
      </w:hyperlink>
      <w:hyperlink r:id="rId15">
        <w:r>
          <w:rPr>
            <w:color w:val="0000EE"/>
            <w:u w:val="single"/>
          </w:rPr>
          <w:t>[7]</w:t>
        </w:r>
      </w:hyperlink>
      <w:r/>
    </w:p>
    <w:p>
      <w:r/>
      <w:r>
        <w:t xml:space="preserve">Despite the technology's maturity, the decisive blockers for most incumbents remain infrastructure and data readiness. The report argues that adopting agent-ready features often forces a painful migration to cloud-native, containerised compute and a modern data stack: streaming events for real-time context, vector databases for retrieval-augmented memory and OLAP for analytics. Without that foundation, MAS pilots risk generating cost and reliability problems rather than sustainable automation. BuilderChain and other practitioners stress the same point in industry write-ups. </w:t>
      </w:r>
      <w:hyperlink r:id="rId9">
        <w:r>
          <w:rPr>
            <w:color w:val="0000EE"/>
            <w:u w:val="single"/>
          </w:rPr>
          <w:t>[1]</w:t>
        </w:r>
      </w:hyperlink>
      <w:hyperlink r:id="rId14">
        <w:r>
          <w:rPr>
            <w:color w:val="0000EE"/>
            <w:u w:val="single"/>
          </w:rPr>
          <w:t>[6]</w:t>
        </w:r>
      </w:hyperlink>
      <w:r/>
    </w:p>
    <w:p>
      <w:r/>
      <w:r>
        <w:t xml:space="preserve">Risk is systemic, not just about hallucinations. The original report highlights four architectural mitigations: mixture-of-experts routing to avoid monoculture blind spots, critic or red-team agents to prevent groupthink, budget-based circuit breakers to cap runaway costs, and distributed tracing plus stateful execution to localise and recover from cascading failures. These patterns align with orchestration platforms that include conflict-resolution, arbitration frameworks and persistent shared memory to safeguard correctness and auditability. </w:t>
      </w:r>
      <w:hyperlink r:id="rId9">
        <w:r>
          <w:rPr>
            <w:color w:val="0000EE"/>
            <w:u w:val="single"/>
          </w:rPr>
          <w:t>[1]</w:t>
        </w:r>
      </w:hyperlink>
      <w:hyperlink r:id="rId13">
        <w:r>
          <w:rPr>
            <w:color w:val="0000EE"/>
            <w:u w:val="single"/>
          </w:rPr>
          <w:t>[4]</w:t>
        </w:r>
      </w:hyperlink>
      <w:r/>
    </w:p>
    <w:p>
      <w:r/>
      <w:r>
        <w:t xml:space="preserve">For strategy, the report recommends practical steps: pilot high-value, low-risk workflows; create an architecture centre of excellence to govern protocols, security and observability; and treat model diversity and data-platform modernisation as non-negotiable. Market signals suggest a three-tier ecosystem , hyperscalers providing infrastructure, platform integrators embedding agent features and "agent-native" startups , will capture much of the emerging value. Industry data and vendor roadmaps indicate enterprises that prepare compute, data and governance now will be positioned to scale agentic automation through 2026 and beyond.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hyperlink r:id="rId12">
        <w:r>
          <w:rPr>
            <w:color w:val="0000EE"/>
            <w:u w:val="single"/>
          </w:rPr>
          <w:t>[5]</w:t>
        </w:r>
      </w:hyperlink>
      <w:hyperlink r:id="rId14">
        <w:r>
          <w:rPr>
            <w:color w:val="0000EE"/>
            <w:u w:val="single"/>
          </w:rPr>
          <w:t>[6]</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(VentureBeat)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(IBM Think) - Paragraph 2, Paragraph 9 </w:t>
      </w:r>
      <w:r/>
    </w:p>
    <w:p>
      <w:pPr>
        <w:pStyle w:val="ListBullet"/>
        <w:spacing w:line="240" w:lineRule="auto"/>
        <w:ind w:left="720"/>
      </w:pPr>
      <w:r/>
      <w:hyperlink r:id="rId11">
        <w:r>
          <w:rPr>
            <w:color w:val="0000EE"/>
            <w:u w:val="single"/>
          </w:rPr>
          <w:t>[3]</w:t>
        </w:r>
      </w:hyperlink>
      <w:r>
        <w:t xml:space="preserve"> (AI21) - Paragraph 2, Paragraph 9 </w:t>
      </w:r>
      <w:r/>
    </w:p>
    <w:p>
      <w:pPr>
        <w:pStyle w:val="ListBullet"/>
        <w:spacing w:line="240" w:lineRule="auto"/>
        <w:ind w:left="720"/>
      </w:pPr>
      <w:r/>
      <w:hyperlink r:id="rId13">
        <w:r>
          <w:rPr>
            <w:color w:val="0000EE"/>
            <w:u w:val="single"/>
          </w:rPr>
          <w:t>[4]</w:t>
        </w:r>
      </w:hyperlink>
      <w:r>
        <w:t xml:space="preserve"> (Kore.ai) - Paragraph 5, Paragraph 8, Paragraph 9 </w:t>
      </w:r>
      <w:r/>
    </w:p>
    <w:p>
      <w:pPr>
        <w:pStyle w:val="ListBullet"/>
        <w:spacing w:line="240" w:lineRule="auto"/>
        <w:ind w:left="720"/>
      </w:pPr>
      <w:r/>
      <w:hyperlink r:id="rId12">
        <w:r>
          <w:rPr>
            <w:color w:val="0000EE"/>
            <w:u w:val="single"/>
          </w:rPr>
          <w:t>[5]</w:t>
        </w:r>
      </w:hyperlink>
      <w:r>
        <w:t xml:space="preserve"> (Xenoss) - Paragraph 4, Paragraph 6, Paragraph 9 </w:t>
      </w:r>
      <w:r/>
    </w:p>
    <w:p>
      <w:pPr>
        <w:pStyle w:val="ListBullet"/>
        <w:spacing w:line="240" w:lineRule="auto"/>
        <w:ind w:left="720"/>
      </w:pPr>
      <w:r/>
      <w:hyperlink r:id="rId14">
        <w:r>
          <w:rPr>
            <w:color w:val="0000EE"/>
            <w:u w:val="single"/>
          </w:rPr>
          <w:t>[6]</w:t>
        </w:r>
      </w:hyperlink>
      <w:r>
        <w:t xml:space="preserve"> (BuilderChain) - Paragraph 6, Paragraph 7, Paragraph 9 </w:t>
      </w:r>
      <w:r/>
    </w:p>
    <w:p>
      <w:pPr>
        <w:pStyle w:val="ListBullet"/>
        <w:spacing w:line="240" w:lineRule="auto"/>
        <w:ind w:left="720"/>
      </w:pPr>
      <w:r/>
      <w:hyperlink r:id="rId15">
        <w:r>
          <w:rPr>
            <w:color w:val="0000EE"/>
            <w:u w:val="single"/>
          </w:rPr>
          <w:t>[7]</w:t>
        </w:r>
      </w:hyperlink>
      <w:r>
        <w:t xml:space="preserve"> (RentAgents) - Paragraph 6,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https://venturebeat.com/business/ai-teams-the-new-blueprint-for-enterprise-automation</w:t>
        </w:r>
      </w:hyperlink>
      <w:r>
        <w:t xml:space="preserve"> - Please view link - unable to able to access data</w:t>
      </w:r>
      <w:r/>
    </w:p>
    <w:p>
      <w:pPr>
        <w:pStyle w:val="ListNumber"/>
        <w:spacing w:line="240" w:lineRule="auto"/>
        <w:ind w:left="720"/>
      </w:pPr>
      <w:r/>
      <w:hyperlink r:id="rId10">
        <w:r>
          <w:rPr>
            <w:color w:val="0000EE"/>
            <w:u w:val="single"/>
          </w:rPr>
          <w:t>https://www.ibm.com/think/topics/multiagent-system</w:t>
        </w:r>
      </w:hyperlink>
      <w:r>
        <w:t xml:space="preserve"> - IBM's article explains that a multi-agent system (MAS) consists of multiple artificial intelligence (AI) agents working collectively to perform tasks on behalf of a user or another system. Each agent within a MAS has individual properties but all agents behave collaboratively to lead to desired global properties. MAS are valuable in completing large-scale, complex tasks that can encompass hundreds, if not thousands, of agents. The article also discusses the benefits of MAS, including enhanced performance, scalability, and adaptability, as well as their applications in various industries such as networking, mobile technologies, and defense systems.</w:t>
      </w:r>
      <w:r/>
    </w:p>
    <w:p>
      <w:pPr>
        <w:pStyle w:val="ListNumber"/>
        <w:spacing w:line="240" w:lineRule="auto"/>
        <w:ind w:left="720"/>
      </w:pPr>
      <w:r/>
      <w:hyperlink r:id="rId11">
        <w:r>
          <w:rPr>
            <w:color w:val="0000EE"/>
            <w:u w:val="single"/>
          </w:rPr>
          <w:t>https://www.ai21.com/knowledge/multi-agent-system/</w:t>
        </w:r>
      </w:hyperlink>
      <w:r>
        <w:t xml:space="preserve"> - AI21's article discusses the benefits and advantages of multi-agent systems (MAS) in enterprise environments. As AI adoption deepens, organizations face growing complexity in automating decision-driven workflows. MAS offer a structured approach to distributing tasks among specialized agents, enabling greater efficiency, scalability, and adaptability without the cost and rigidity associated with monolithic, single-agent systems. The article highlights that MAS decompose complex tasks into smaller, distributed processes that can be handled simultaneously by specialized agents, accelerating problem-solving and increasing accuracy and resilience. It also mentions that MAS foster 'collective intelligence' across agents, improving workflows and unlocking new insights, allowing enterprises to iterate faster, adapt in real time, and generate novel solutions to evolving challenges.</w:t>
      </w:r>
      <w:r/>
    </w:p>
    <w:p>
      <w:pPr>
        <w:pStyle w:val="ListNumber"/>
        <w:spacing w:line="240" w:lineRule="auto"/>
        <w:ind w:left="720"/>
      </w:pPr>
      <w:r/>
      <w:hyperlink r:id="rId13">
        <w:r>
          <w:rPr>
            <w:color w:val="0000EE"/>
            <w:u w:val="single"/>
          </w:rPr>
          <w:t>https://www.kore.ai/blog/what-is-multi-agent-orchestration</w:t>
        </w:r>
      </w:hyperlink>
      <w:r>
        <w:t xml:space="preserve"> - Kore.ai's blog post explains that multi-agent orchestration is a foundational capability in their Agent Platform, treating it as the control layer for enterprise autonomy. The architecture enables supervisor-based orchestration, where a central orchestrator breaks down complex tasks, assigns them to the most relevant agents, reconciles results, and delivers unified outputs, preventing agents from operating as isolated silos. It also supports dynamic role allocation and coordination, with agents selected or reassigned in real time based on enterprise context, regulatory triggers, or data availability. The platform provides shared memory and persistence, allowing agents to retain conversation history, institutional knowledge, and cross-session data, ensuring continuity and personalization over repeated interactions. Additionally, it includes conflict resolution and arbitration frameworks that allow negotiation between agents with competing priorities, using rules, escalation policies, or human-in-the-loop oversight when needed.</w:t>
      </w:r>
      <w:r/>
    </w:p>
    <w:p>
      <w:pPr>
        <w:pStyle w:val="ListNumber"/>
        <w:spacing w:line="240" w:lineRule="auto"/>
        <w:ind w:left="720"/>
      </w:pPr>
      <w:r/>
      <w:hyperlink r:id="rId12">
        <w:r>
          <w:rPr>
            <w:color w:val="0000EE"/>
            <w:u w:val="single"/>
          </w:rPr>
          <w:t>https://www.xenoss.io/solutions/enterprise-multi-agent-systems</w:t>
        </w:r>
      </w:hyperlink>
      <w:r>
        <w:t xml:space="preserve"> - Xenoss specializes in designing, building, and orchestrating custom multi-agent AI systems for complex enterprise workflows. They coordinate large language models (LLMs), tools, and processes, enabling scalable decision-making, automation, and dynamic collaboration across enterprise operations. Their services include workflow decomposition, tool chaining, secure execution, and agent orchestration, delivering production-grade agent ecosystems tailored to business logic and infrastructure. Xenoss emphasizes the limitations of rule-based automation and fragmented LLM workflows, highlighting how multi-agent systems enable autonomous reasoning, tool use, and decision branching based on live data, providing reusable intelligence across departments and supporting multiple teams and workflows.</w:t>
      </w:r>
      <w:r/>
    </w:p>
    <w:p>
      <w:pPr>
        <w:pStyle w:val="ListNumber"/>
        <w:spacing w:line="240" w:lineRule="auto"/>
        <w:ind w:left="720"/>
      </w:pPr>
      <w:r/>
      <w:hyperlink r:id="rId14">
        <w:r>
          <w:rPr>
            <w:color w:val="0000EE"/>
            <w:u w:val="single"/>
          </w:rPr>
          <w:t>https://www.builderchain.ai/MAS</w:t>
        </w:r>
      </w:hyperlink>
      <w:r>
        <w:t xml:space="preserve"> - BuilderChain's Multi-Agent System (MAS) can spin up independent, domain-specialized AI agents—such as estimating, scheduling, procurement, and compliance—leveraging parallel agentic executions. Each agent is handed one canonical plan and then explores different scenarios in its own isolated worktree, such as fast-track vs. value-engineering schedules, competing buy-out strategies, alternative permitting sequences, and multiple cash-flow draw curves. The platform's operational ontology keeps all branches perfectly aligned on cost codes, task IDs, and project metadata, so nothing drifts out of context. When the exploration phase ends, BuilderChain’s merge-and-review layer shows side-by-side diffs, highlighting trade-offs in time, cost, risk, and carbon, and lets stakeholders cherry-pick the best fragments into a single optimized 'release candidate' schedule or scope.</w:t>
      </w:r>
      <w:r/>
    </w:p>
    <w:p>
      <w:pPr>
        <w:pStyle w:val="ListNumber"/>
        <w:spacing w:line="240" w:lineRule="auto"/>
        <w:ind w:left="720"/>
      </w:pPr>
      <w:r/>
      <w:hyperlink r:id="rId15">
        <w:r>
          <w:rPr>
            <w:color w:val="0000EE"/>
            <w:u w:val="single"/>
          </w:rPr>
          <w:t>https://www.rentagents.ai/</w:t>
        </w:r>
      </w:hyperlink>
      <w:r>
        <w:t xml:space="preserve"> - RentAgents is a conceptual software architecture for a multi-agent system that uses generative artificial intelligence to automate and manage small business operations. The system is designed around a hierarchy of specialized AI agents, organized into functional groups called 'meshes' corresponding to business verticals like finance, human resources, and marketing. The architecture proposes a model where businesses could utilize specific AI agents or entire agent meshes based on their needs, as an alternative to a monolithic software suite. The system's design combines procedural code for routine tasks with adaptive, large language model (LLM)-driven agents for complex reasoning and strategic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eat.com/business/ai-teams-the-new-blueprint-for-enterprise-automation" TargetMode="External"/><Relationship Id="rId10" Type="http://schemas.openxmlformats.org/officeDocument/2006/relationships/hyperlink" Target="https://www.ibm.com/think/topics/multiagent-system" TargetMode="External"/><Relationship Id="rId11" Type="http://schemas.openxmlformats.org/officeDocument/2006/relationships/hyperlink" Target="https://www.ai21.com/knowledge/multi-agent-system/" TargetMode="External"/><Relationship Id="rId12" Type="http://schemas.openxmlformats.org/officeDocument/2006/relationships/hyperlink" Target="https://www.xenoss.io/solutions/enterprise-multi-agent-systems" TargetMode="External"/><Relationship Id="rId13" Type="http://schemas.openxmlformats.org/officeDocument/2006/relationships/hyperlink" Target="https://www.kore.ai/blog/what-is-multi-agent-orchestration" TargetMode="External"/><Relationship Id="rId14" Type="http://schemas.openxmlformats.org/officeDocument/2006/relationships/hyperlink" Target="https://www.builderchain.ai/MAS" TargetMode="External"/><Relationship Id="rId15" Type="http://schemas.openxmlformats.org/officeDocument/2006/relationships/hyperlink" Target="https://www.rentagents.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