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financial sector faces trust and innovation test as 2026 approaches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2026 approaches, US consumer finance stands at a crossroads where technological potential collides with distinctive market and regulatory realities. According to the original report, five trends , trust in AI, digital user experience, the maturation of neobanks, evolving cyber threats, and wealth-management opportunities , will shape the sector, but US institutions must interpret those trends through local consumer sentiment, regulatory scrutiny and competitive dynamics. </w:t>
      </w:r>
      <w:hyperlink r:id="rId9">
        <w:r>
          <w:rPr>
            <w:color w:val="0000EE"/>
            <w:u w:val="single"/>
          </w:rPr>
          <w:t>[1]</w:t>
        </w:r>
      </w:hyperlink>
      <w:r/>
    </w:p>
    <w:p>
      <w:r/>
      <w:r>
        <w:t xml:space="preserve">Trust remains the hinge on which much of AI’s promise turns. The lead analysis notes widespread consumer caution , privacy, security and a preference for human oversight , and industry evidence shows banks are already seeing measurable productivity gains while wrestling with the social and workforce implications. Major US banks have reported marked improvements in efficiency from AI deployment; Marianne Lake of JPMorgan Chase said AI “doubled the bank’s productivity from 3% to 6%,” and other executives told Reuters that firms are accomplishing more with the same headcount even as some programmes signal potential job reductions. This productivity boost underlines the urgency of building explainable, auditable systems if institutions are to close the trust gap. </w:t>
      </w:r>
      <w:hyperlink r:id="rId9">
        <w:r>
          <w:rPr>
            <w:color w:val="0000EE"/>
            <w:u w:val="single"/>
          </w:rPr>
          <w:t>[1]</w:t>
        </w:r>
      </w:hyperlink>
      <w:hyperlink r:id="rId10">
        <w:r>
          <w:rPr>
            <w:color w:val="0000EE"/>
            <w:u w:val="single"/>
          </w:rPr>
          <w:t>[2]</w:t>
        </w:r>
      </w:hyperlink>
      <w:r/>
    </w:p>
    <w:p>
      <w:r/>
      <w:r>
        <w:t xml:space="preserve">Regulators are paying attention. The US Treasury has solicited public comment on AI’s use in financial services, framing the technology as both a cost-reducer and a potential systemic risk and asking for input on fairness and access. Industry players and policymakers will need to reconcile rapid private-sector adoption with demands for transparency, regular auditability and consumer protections flagged by households and advocacy groups. Banks that present clear governance, robust privacy safeguards and third‑party validation will have a competitive advantage in convincing wary consumers. </w:t>
      </w:r>
      <w:hyperlink r:id="rId11">
        <w:r>
          <w:rPr>
            <w:color w:val="0000EE"/>
            <w:u w:val="single"/>
          </w:rPr>
          <w:t>[4]</w:t>
        </w:r>
      </w:hyperlink>
      <w:hyperlink r:id="rId9">
        <w:r>
          <w:rPr>
            <w:color w:val="0000EE"/>
            <w:u w:val="single"/>
          </w:rPr>
          <w:t>[1]</w:t>
        </w:r>
      </w:hyperlink>
      <w:r/>
    </w:p>
    <w:p>
      <w:r/>
      <w:r>
        <w:t xml:space="preserve">At the same time, banks are doubling down on customer experience as the primary battleground for loyalty. The lead article highlights mobile apps as central to engagement, and market data shows consumers now expect control, customisation and embedded services. Large incumbents are extending beyond deposits into travel, trading and automated money management to match consumer expectations set by agile challengers. Physical presence remains strategic for some: Bank of America recently announced plans to open more than 150 new branches by the end of 2027, arguing that branches complement digital growth by anchoring personalised advice and deepening customer relationships. The hybrid model , strong digital core supported by selective physical footprint , will test incumbents’ ability to innovate without forsaking human advisory strengths. </w:t>
      </w:r>
      <w:hyperlink r:id="rId9">
        <w:r>
          <w:rPr>
            <w:color w:val="0000EE"/>
            <w:u w:val="single"/>
          </w:rPr>
          <w:t>[1]</w:t>
        </w:r>
      </w:hyperlink>
      <w:hyperlink r:id="rId12">
        <w:r>
          <w:rPr>
            <w:color w:val="0000EE"/>
            <w:u w:val="single"/>
          </w:rPr>
          <w:t>[3]</w:t>
        </w:r>
      </w:hyperlink>
      <w:r/>
    </w:p>
    <w:p>
      <w:r/>
      <w:r>
        <w:t xml:space="preserve">Neobanks have shifted from growth-at-all-costs to engagement and profitability, and US adoption is now material. The lead forecast cites MacroMonitor data showing neobank usage and rising primary relationships; industry reports reinforce acceleration in tech-driven personalisation. As neobanks push into lending, investing and insurance, incumbents face pressure to match user experience and partner strategically with fintechs or risk attrition among younger consumers. Advisors and wealth teams must therefore blend digital convenience with differentiated, higher‑value advice to retain a share of wallet.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Cybersecurity and fraud prevention are also evolving into enterprise-defining priorities. The lead report warns of AI-enabled tactics such as voice cloning and synthetic identity fraud, and consumer anxiety is tangible: a significant minority of households express concern about deposit safety and cite fraud as a reason to consider switching banks. Traditional rule‑based defences no longer suffice; banks are adopting behavioural biometrics, multi-source analytics and industry collaboration to reduce false positives while improving detection. Regulatory scrutiny and cross-industry data sharing will be crucial to disrupt organised scams and preserve consumer trust. </w:t>
      </w:r>
      <w:hyperlink r:id="rId9">
        <w:r>
          <w:rPr>
            <w:color w:val="0000EE"/>
            <w:u w:val="single"/>
          </w:rPr>
          <w:t>[1]</w:t>
        </w:r>
      </w:hyperlink>
      <w:r/>
    </w:p>
    <w:p>
      <w:r/>
      <w:r>
        <w:t xml:space="preserve">Wealth management represents a clear growth corridor if institutions can convert low-yield deposits into investible assets. MacroMonitor figures cited in the lead piece show high-net-worth mutual fund holdings rising sharply in recent years, while many mass-affluent households keep substantial cash balances. Industry surveys indicate advisers are preparing for more AI integration , Cerulli finds 77% of bank advisers expect to incorporate AI into their practice within two years , suggesting advice delivery will become increasingly digitised and data-driven. Fee-based growth will hinge on personalised advice, seamless digital journeys and clear value propositions for moving funds into higher-yield products. </w:t>
      </w:r>
      <w:hyperlink r:id="rId9">
        <w:r>
          <w:rPr>
            <w:color w:val="0000EE"/>
            <w:u w:val="single"/>
          </w:rPr>
          <w:t>[1]</w:t>
        </w:r>
      </w:hyperlink>
      <w:hyperlink r:id="rId14">
        <w:r>
          <w:rPr>
            <w:color w:val="0000EE"/>
            <w:u w:val="single"/>
          </w:rPr>
          <w:t>[6]</w:t>
        </w:r>
      </w:hyperlink>
      <w:r/>
    </w:p>
    <w:p>
      <w:r/>
      <w:r>
        <w:t xml:space="preserve">Taken together, these developments point to a near-term agenda for US firms: move from experimentation to governed scale on AI; prioritise transparency and auditability to rebuild consumer confidence; invest in digital experiences that complement, not replace, human advice; modernise fraud defences with advanced analytics and cooperation; and sharpen wealth-conversion strategies. As one industry commentator put it in Forbes, the shift is toward "precision not hype" , the sector’s challenge in 2026 will be to translate technical capability into trustworthy, near‑error‑free services that meet regulatory and consumer expectations. </w:t>
      </w:r>
      <w:hyperlink r:id="rId9">
        <w:r>
          <w:rPr>
            <w:color w:val="0000EE"/>
            <w:u w:val="single"/>
          </w:rPr>
          <w:t>[1]</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(Finextra / lead article) - Paragraph 1, Paragraph 2, Paragraph 4, Paragraph 5, Paragraph 6, Paragraph 7, Paragraph 8 </w:t>
      </w:r>
      <w:r/>
    </w:p>
    <w:p>
      <w:pPr>
        <w:pStyle w:val="ListBullet"/>
        <w:spacing w:line="240" w:lineRule="auto"/>
        <w:ind w:left="720"/>
      </w:pPr>
      <w:r/>
      <w:hyperlink r:id="rId10">
        <w:r>
          <w:rPr>
            <w:color w:val="0000EE"/>
            <w:u w:val="single"/>
          </w:rPr>
          <w:t>[2]</w:t>
        </w:r>
      </w:hyperlink>
      <w:r>
        <w:t xml:space="preserve"> (Reuters) - Paragraph 2 </w:t>
      </w:r>
      <w:r/>
    </w:p>
    <w:p>
      <w:pPr>
        <w:pStyle w:val="ListBullet"/>
        <w:spacing w:line="240" w:lineRule="auto"/>
        <w:ind w:left="720"/>
      </w:pPr>
      <w:r/>
      <w:hyperlink r:id="rId11">
        <w:r>
          <w:rPr>
            <w:color w:val="0000EE"/>
            <w:u w:val="single"/>
          </w:rPr>
          <w:t>[4]</w:t>
        </w:r>
      </w:hyperlink>
      <w:r>
        <w:t xml:space="preserve"> (Reuters) - Paragraph 3 </w:t>
      </w:r>
      <w:r/>
    </w:p>
    <w:p>
      <w:pPr>
        <w:pStyle w:val="ListBullet"/>
        <w:spacing w:line="240" w:lineRule="auto"/>
        <w:ind w:left="720"/>
      </w:pPr>
      <w:r/>
      <w:hyperlink r:id="rId12">
        <w:r>
          <w:rPr>
            <w:color w:val="0000EE"/>
            <w:u w:val="single"/>
          </w:rPr>
          <w:t>[3]</w:t>
        </w:r>
      </w:hyperlink>
      <w:r>
        <w:t xml:space="preserve"> (Reuters) - Paragraph 4 </w:t>
      </w:r>
      <w:r/>
    </w:p>
    <w:p>
      <w:pPr>
        <w:pStyle w:val="ListBullet"/>
        <w:spacing w:line="240" w:lineRule="auto"/>
        <w:ind w:left="720"/>
      </w:pPr>
      <w:r/>
      <w:hyperlink r:id="rId13">
        <w:r>
          <w:rPr>
            <w:color w:val="0000EE"/>
            <w:u w:val="single"/>
          </w:rPr>
          <w:t>[5]</w:t>
        </w:r>
      </w:hyperlink>
      <w:r>
        <w:t xml:space="preserve"> (BusinessWire / Celent) - Paragraph 5 </w:t>
      </w:r>
      <w:r/>
    </w:p>
    <w:p>
      <w:pPr>
        <w:pStyle w:val="ListBullet"/>
        <w:spacing w:line="240" w:lineRule="auto"/>
        <w:ind w:left="720"/>
      </w:pPr>
      <w:r/>
      <w:hyperlink r:id="rId14">
        <w:r>
          <w:rPr>
            <w:color w:val="0000EE"/>
            <w:u w:val="single"/>
          </w:rPr>
          <w:t>[6]</w:t>
        </w:r>
      </w:hyperlink>
      <w:r>
        <w:t xml:space="preserve"> (Cerulli) - Paragraph 7 </w:t>
      </w:r>
      <w:r/>
    </w:p>
    <w:p>
      <w:pPr>
        <w:pStyle w:val="ListBullet"/>
        <w:spacing w:line="240" w:lineRule="auto"/>
        <w:ind w:left="720"/>
      </w:pPr>
      <w:r/>
      <w:hyperlink r:id="rId15">
        <w:r>
          <w:rPr>
            <w:color w:val="0000EE"/>
            <w:u w:val="single"/>
          </w:rPr>
          <w:t>[7]</w:t>
        </w:r>
      </w:hyperlink>
      <w:r>
        <w:t xml:space="preserve"> (Forbes)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https://www.finextra.com/blogposting/30392/the-challenges-and-opportunities-facing-us-financial-institutions-in-2026?utm_medium=rssfinextra&amp;utm_source=finextrablogs</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https://www.reuters.com/business/finance/us-bank-executives-say-ai-will-boost-productivity-cut-jobs-2025-12-09/</w:t>
        </w:r>
      </w:hyperlink>
      <w:r>
        <w:t xml:space="preserve"> - Major U.S. banks, including JPMorgan Chase, Wells Fargo, Citigroup, PNC Financial, and Bank of America, are reporting significant gains in productivity due to the adoption of artificial intelligence (AI), with potential implications for job reductions. JPMorgan's Marianne Lake stated AI doubled the bank’s productivity from 3% to 6%, with operations specialists expected to see 40%-50% increases. Wells Fargo CEO Charlie Scharf noted that although headcount hasn't yet decreased, AI allows the bank to accomplish more with the same number of employees. PNC’s CEO emphasized that AI will accelerate long-running automation efforts, enabling the bank to maintain headcount while tripling in size over a decade. Citigroup and Bank of America also highlighted AI’s impact in enhancing efficiency and real-time support. Goldman Sachs announced potential job cuts as part of its AI initiative “OneGS 3.0,” targeting improvements in sales, lending, and other operations. While AI is seen as a productivity booster, the technology is also fueling concerns about workforce displacement amid broader economic transformation.</w:t>
      </w:r>
      <w:r/>
    </w:p>
    <w:p>
      <w:pPr>
        <w:pStyle w:val="ListNumber"/>
        <w:spacing w:line="240" w:lineRule="auto"/>
        <w:ind w:left="720"/>
      </w:pPr>
      <w:r/>
      <w:hyperlink r:id="rId12">
        <w:r>
          <w:rPr>
            <w:color w:val="0000EE"/>
            <w:u w:val="single"/>
          </w:rPr>
          <w:t>https://www.reuters.com/business/finance/bank-america-open-more-than-150-new-branches-by-2027-2025-05-13/</w:t>
        </w:r>
      </w:hyperlink>
      <w:r>
        <w:t xml:space="preserve"> - Bank of America announced plans to open over 150 new branches across the U.S. by the end of 2027, starting with 40 branches in 2025 and an additional 70 in 2026. Despite a strong emphasis on digital banking—with over 90% of client interactions occurring online—the bank sees physical branches as essential for personalized financial advice and strengthening customer relationships. Bank of America currently operates around 3,700 branches, though this number may slightly decrease due to consolidations in mature markets. Holly O’Neill, president of consumer, retail, and preferred banking, emphasized that digital growth is accelerated in areas where the bank also has a physical presence. The company has already invested over $5 billion in its branch network over the past nine years, including the opening of a flagship New York branch and upcoming locations in Boise. The move follows similar expansion efforts by JPMorgan Chase, which plans to open 500 new sites by 2027. Bank of America's consumer banking division remains critical, contributing 33.8% to its Q1 net income, and consumer spending continues to be strong.</w:t>
      </w:r>
      <w:r/>
    </w:p>
    <w:p>
      <w:pPr>
        <w:pStyle w:val="ListNumber"/>
        <w:spacing w:line="240" w:lineRule="auto"/>
        <w:ind w:left="720"/>
      </w:pPr>
      <w:r/>
      <w:hyperlink r:id="rId11">
        <w:r>
          <w:rPr>
            <w:color w:val="0000EE"/>
            <w:u w:val="single"/>
          </w:rPr>
          <w:t>https://www.reuters.com/technology/us-treasury-seeks-public-comments-ai-use-financial-services-sector-2024-06-06/</w:t>
        </w:r>
      </w:hyperlink>
      <w:r>
        <w:t xml:space="preserve"> - The U.S. Treasury Department announced on June 6, 2024, that it is seeking public feedback on the use of artificial intelligence (AI) in the financial services sector. This initiative aims to better understand both the opportunities and potential risks that AI technologies pose to the financial system. Treasury Secretary Janet Yellen is expected to highlight the dual nature of AI in an upcoming speech, noting that while AI can reduce transaction costs, it may also introduce significant risks if left unregulated. The Treasury is particularly interested in how AI could foster inclusive and equitable access to financial services. Public comments are encouraged and can be submitted over the next 60 days.</w:t>
      </w:r>
      <w:r/>
    </w:p>
    <w:p>
      <w:pPr>
        <w:pStyle w:val="ListNumber"/>
        <w:spacing w:line="240" w:lineRule="auto"/>
        <w:ind w:left="720"/>
      </w:pPr>
      <w:r/>
      <w:hyperlink r:id="rId13">
        <w:r>
          <w:rPr>
            <w:color w:val="0000EE"/>
            <w:u w:val="single"/>
          </w:rPr>
          <w:t>https://www.businesswire.com/news/home/20251113913650/en/Financial-Institutions-Race-to-Adopt-Generative-AI-in-Lending-with-83-Boosting-Budgets-in-2026</w:t>
        </w:r>
      </w:hyperlink>
      <w:r>
        <w:t xml:space="preserve"> - A new industry report from Celent, commissioned by Zest AI, reveals that financial institutions are accelerating generative AI adoption at an unprecedented pace – findings that reinforce Zest AI’s strategic focus on lending intelligence solutions that balance speed, transparency, and regulatory compliance. The "Generative AI in Retail Lending" survey, conducted in August 2025, polled 106 U.S. banks, credit unions, and consumer finance companies and found that 83% of lenders plan to increase their consumer lending GenAI IT budgets in 2026, with 41% anticipating increases exceeding 5%. Most significantly, two-thirds (67%) of lenders have already completed or will implement GenAI strategies by 2026 – a faster adoption rate than previous lending technology innovations, including AI/ML, online lending, mobile lending, and statistical regression-based automated underwriting.</w:t>
      </w:r>
      <w:r/>
    </w:p>
    <w:p>
      <w:pPr>
        <w:pStyle w:val="ListNumber"/>
        <w:spacing w:line="240" w:lineRule="auto"/>
        <w:ind w:left="720"/>
      </w:pPr>
      <w:r/>
      <w:hyperlink r:id="rId14">
        <w:r>
          <w:rPr>
            <w:color w:val="0000EE"/>
            <w:u w:val="single"/>
          </w:rPr>
          <w:t>https://www.cerulli.com/press-releases/77-of-bank-advisors-plan-to-incorporate-ai-into-their-practice</w:t>
        </w:r>
      </w:hyperlink>
      <w:r>
        <w:t xml:space="preserve"> - While fewer than half (42%) of bank advisors currently use AI capabilities within their practice, this number is anticipated to increase to more than three-quarters (77%) within the next two years. Private banks, however, cite significantly higher levels of AI usage with more than half (56%) already using AI assistance to some degree and 80% anticipating integration in the next two years.</w:t>
      </w:r>
      <w:r/>
    </w:p>
    <w:p>
      <w:pPr>
        <w:pStyle w:val="ListNumber"/>
        <w:spacing w:line="240" w:lineRule="auto"/>
        <w:ind w:left="720"/>
      </w:pPr>
      <w:r/>
      <w:hyperlink r:id="rId15">
        <w:r>
          <w:rPr>
            <w:color w:val="0000EE"/>
            <w:u w:val="single"/>
          </w:rPr>
          <w:t>https://www.forbes.com/sites/christerholloman/2025/11/30/precision-not-hype-will-shape-banks-use-of-ai-in-2026/</w:t>
        </w:r>
      </w:hyperlink>
      <w:r>
        <w:t xml:space="preserve"> - For years, the adoption of AI in banking has been throttled by a trust gap. In a regulated industry, a model that hallucinates facts is a serious liability. Pelosi argues that this gap is closing rapidly due to the evolution of evaluation frameworks. "A year ago, when [researchers] checked, there might be 8 out of 10 facts that were correct," Pelosi said. "Now you're getting like 99 out of a 100." Pelosi identifies 2026 as the year the industry reaches a psychological and statistical tipping point. He draws a parallel to the adoption of autonomous vehicles. Just as passengers need data to trust a driverless car, bankers need data to trust an agent. "Going from 80% to 99% accuracy is impressive, unless you are a bank," said Suarez and added, "At 1% error a system still misreports 100 balances out of 10,000. AI in finance must aim for near-zero mistakes."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extra.com/blogposting/30392/the-challenges-and-opportunities-facing-us-financial-institutions-in-2026?utm_medium=rssfinextra&amp;utm_source=finextrablogs" TargetMode="External"/><Relationship Id="rId10" Type="http://schemas.openxmlformats.org/officeDocument/2006/relationships/hyperlink" Target="https://www.reuters.com/business/finance/us-bank-executives-say-ai-will-boost-productivity-cut-jobs-2025-12-09/" TargetMode="External"/><Relationship Id="rId11" Type="http://schemas.openxmlformats.org/officeDocument/2006/relationships/hyperlink" Target="https://www.reuters.com/technology/us-treasury-seeks-public-comments-ai-use-financial-services-sector-2024-06-06/" TargetMode="External"/><Relationship Id="rId12" Type="http://schemas.openxmlformats.org/officeDocument/2006/relationships/hyperlink" Target="https://www.reuters.com/business/finance/bank-america-open-more-than-150-new-branches-by-2027-2025-05-13/" TargetMode="External"/><Relationship Id="rId13" Type="http://schemas.openxmlformats.org/officeDocument/2006/relationships/hyperlink" Target="https://www.businesswire.com/news/home/20251113913650/en/Financial-Institutions-Race-to-Adopt-Generative-AI-in-Lending-with-83-Boosting-Budgets-in-2026" TargetMode="External"/><Relationship Id="rId14" Type="http://schemas.openxmlformats.org/officeDocument/2006/relationships/hyperlink" Target="https://www.cerulli.com/press-releases/77-of-bank-advisors-plan-to-incorporate-ai-into-their-practice" TargetMode="External"/><Relationship Id="rId15" Type="http://schemas.openxmlformats.org/officeDocument/2006/relationships/hyperlink" Target="https://www.forbes.com/sites/christerholloman/2025/11/30/precision-not-hype-will-shape-banks-use-of-ai-in-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