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tech sector faces structural reset amid regulatory overhaul and global headwinds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Australian technology shares are undergoing a pronounced reset within the ASX 200, a phase that industry observers describe less as collapse than as consolidation , a recalibration of expectations that is reordering valuations while leaving intact the structural traits that make several companies attractive over the long term. According to the original report, platform-led models, recurring revenue and international reach are central to why investors remain attentive to the sector. </w:t>
      </w:r>
      <w:hyperlink r:id="rId9">
        <w:r>
          <w:rPr>
            <w:color w:val="0000EE"/>
            <w:u w:val="single"/>
          </w:rPr>
          <w:t>[1]</w:t>
        </w:r>
      </w:hyperlink>
      <w:r/>
    </w:p>
    <w:p>
      <w:r/>
      <w:r>
        <w:t xml:space="preserve">Market dynamics have amplified the re-rating. Technology stocks routinely swing with global sentiment, valuation resets and shifts in user behaviour; recent movements have pushed many names into bear territory. Industry commentary notes that the ASX 200 technology cohort has fallen sharply from recent peaks, a trend exacerbated for some stocks by company-specific concerns and wider fears about an AI-driven bubble. These swings, while painful, have also highlighted which businesses offer durable, subscription-style revenue that can smooth earnings through cycles. </w:t>
      </w:r>
      <w:hyperlink r:id="rId9">
        <w:r>
          <w:rPr>
            <w:color w:val="0000EE"/>
            <w:u w:val="single"/>
          </w:rPr>
          <w:t>[1]</w:t>
        </w:r>
      </w:hyperlink>
      <w:hyperlink r:id="rId10">
        <w:r>
          <w:rPr>
            <w:color w:val="0000EE"/>
            <w:u w:val="single"/>
          </w:rPr>
          <w:t>[6]</w:t>
        </w:r>
      </w:hyperlink>
      <w:r/>
    </w:p>
    <w:p>
      <w:r/>
      <w:r>
        <w:t xml:space="preserve">That sector-specific reset is unfolding against a backdrop of mounting scrutiny of Australia's market infrastructure. Regulators have pressed the Australian Securities Exchange over repeated operational failures, leading to a substantial capital remediation and revised dividend guidance for the exchange itself. The Australian Securities and Investments Commission imposed an additional A$150 million capital charge on ASX and has pushed for a reset of its modernisation programme with fresh risk and performance targets in concert with the Reserve Bank of Australia; the ASX subsequently trimmed its payout ratio and lowered medium-term return-on-equity targets. The earlier ASIC inquiry and RBA-backed probe into ASX governance and settlement outages further underscore the regulatory intensity now shaping market sentiment. ASX has responded with a phased, lower‑customisation overhaul, working with Tata Consultancy Services and targeting staged delivery through 2026 and into a second phase by 2029. </w:t>
      </w:r>
      <w:hyperlink r:id="rId11">
        <w:r>
          <w:rPr>
            <w:color w:val="0000EE"/>
            <w:u w:val="single"/>
          </w:rPr>
          <w:t>[2]</w:t>
        </w:r>
      </w:hyperlink>
      <w:hyperlink r:id="rId12">
        <w:r>
          <w:rPr>
            <w:color w:val="0000EE"/>
            <w:u w:val="single"/>
          </w:rPr>
          <w:t>[3]</w:t>
        </w:r>
      </w:hyperlink>
      <w:hyperlink r:id="rId13">
        <w:r>
          <w:rPr>
            <w:color w:val="0000EE"/>
            <w:u w:val="single"/>
          </w:rPr>
          <w:t>[5]</w:t>
        </w:r>
      </w:hyperlink>
      <w:r/>
    </w:p>
    <w:p>
      <w:r/>
      <w:r>
        <w:t xml:space="preserve">Regulatory and structural market debates are also prompting discussion on whether Australia should liberalise listing rules to attract technology IPOs. Exchange executives have reopened consideration of dual-class share structures as one lever to revive a weak new‑issuance market, arguing the landscape has changed since the idea was last debated in 2007. Policy reforms aimed at stimulating IPOs sit alongside intensified regulatory oversight of market operators, creating a complex environment for companies contemplating public listings. </w:t>
      </w:r>
      <w:hyperlink r:id="rId14">
        <w:r>
          <w:rPr>
            <w:color w:val="0000EE"/>
            <w:u w:val="single"/>
          </w:rPr>
          <w:t>[4]</w:t>
        </w:r>
      </w:hyperlink>
      <w:hyperlink r:id="rId12">
        <w:r>
          <w:rPr>
            <w:color w:val="0000EE"/>
            <w:u w:val="single"/>
          </w:rPr>
          <w:t>[3]</w:t>
        </w:r>
      </w:hyperlink>
      <w:r/>
    </w:p>
    <w:p>
      <w:r/>
      <w:r>
        <w:t xml:space="preserve">Amid these macro forces, select ASX-listed technology businesses display the traits investors prize in a reset. Life360 Inc exemplifies a subscription-led, consumer‑facing platform: the firm combines real‑time location services, safety alerts and communications in a family‑oriented app ecosystem. According to the original report, Life360’s recurring revenue model and international user base help insulate it from domestic swings and support predictability in monetisation as it continues to invest in engagement and safety features. </w:t>
      </w:r>
      <w:hyperlink r:id="rId9">
        <w:r>
          <w:rPr>
            <w:color w:val="0000EE"/>
            <w:u w:val="single"/>
          </w:rPr>
          <w:t>[1]</w:t>
        </w:r>
      </w:hyperlink>
      <w:r/>
    </w:p>
    <w:p>
      <w:r/>
      <w:r>
        <w:t xml:space="preserve">By contrast, WiseTech Global illustrates how governance and execution concerns can intensify a valuation correction even when the underlying market opportunity is large. WiseTech remains a leading provider of cloud logistics software connecting freight forwarders, customs brokers and logistics providers, and has expanded through acquisitions to broaden its addressable market. But the company has faced investor scrutiny over governance and delivery of earnings expectations, and its shares have fallen substantially from recent highs. Market commentary has linked the derating to both short‑term performance misses and longer‑running governance questions, underscoring how cyclical and idiosyncratic risks can coincide. </w:t>
      </w:r>
      <w:hyperlink r:id="rId9">
        <w:r>
          <w:rPr>
            <w:color w:val="0000EE"/>
            <w:u w:val="single"/>
          </w:rPr>
          <w:t>[1]</w:t>
        </w:r>
      </w:hyperlink>
      <w:hyperlink r:id="rId10">
        <w:r>
          <w:rPr>
            <w:color w:val="0000EE"/>
            <w:u w:val="single"/>
          </w:rPr>
          <w:t>[6]</w:t>
        </w:r>
      </w:hyperlink>
      <w:hyperlink r:id="rId12">
        <w:r>
          <w:rPr>
            <w:color w:val="0000EE"/>
            <w:u w:val="single"/>
          </w:rPr>
          <w:t>[3]</w:t>
        </w:r>
      </w:hyperlink>
      <w:r/>
    </w:p>
    <w:p>
      <w:r/>
      <w:r>
        <w:t xml:space="preserve">CAR Group underscores a third path: a marketplace operator with diversified regional exposure and dealer subscription revenues that provide recurring cash flow. According to the original report, CAR Group’s multi‑jurisdiction footprint and investment in payments, analytics and adjacent services illustrate how platform ecosystems can generate steady engagement and revenue visibility even when transaction volumes fluctuate. </w:t>
      </w:r>
      <w:hyperlink r:id="rId9">
        <w:r>
          <w:rPr>
            <w:color w:val="0000EE"/>
            <w:u w:val="single"/>
          </w:rPr>
          <w:t>[1]</w:t>
        </w:r>
      </w:hyperlink>
      <w:r/>
    </w:p>
    <w:p>
      <w:r/>
      <w:r>
        <w:t xml:space="preserve">Taken together, these examples show the common advantages that can help technology firms weather a reset: scalable platforms, recurring revenue models and global footprints. At the same time, recent events demonstrate that operational execution, governance standards and the health of the national market infrastructure materially influence investor risk premia. For portfolio managers and retail investors, the present phase reinforces the need to separate durable business fundamentals from transient sentiment and to account for heightened regulatory attention when valuing market‑facing technology names. </w:t>
      </w:r>
      <w:hyperlink r:id="rId9">
        <w:r>
          <w:rPr>
            <w:color w:val="0000EE"/>
            <w:u w:val="single"/>
          </w:rPr>
          <w:t>[1]</w:t>
        </w:r>
      </w:hyperlink>
      <w:hyperlink r:id="rId10">
        <w:r>
          <w:rPr>
            <w:color w:val="0000EE"/>
            <w:u w:val="single"/>
          </w:rPr>
          <w:t>[6]</w:t>
        </w:r>
      </w:hyperlink>
      <w:hyperlink r:id="rId11">
        <w:r>
          <w:rPr>
            <w:color w:val="0000EE"/>
            <w:u w:val="single"/>
          </w:rPr>
          <w:t>[2]</w:t>
        </w:r>
      </w:hyperlink>
      <w:r/>
    </w:p>
    <w:p>
      <w:r/>
      <w:r>
        <w:t xml:space="preserve">Technology’s role within the ASX is unlikely to recede; the sector’s growing weight alongside resources and financials reflects broader economic digitisation and investor demand for diversification. Government and regulator interventions aimed at shoring up market infrastructure, while painful in the short term, are intended to restore confidence and support a more resilient environment for future listings and capital formation. Industry data shows the outcome of those reforms will be pivotal in determining whether the current reset proves a buying opportunity for structurally advantaged firms or a longer period of elevated risk premia across the sector. </w:t>
      </w:r>
      <w:hyperlink r:id="rId9">
        <w:r>
          <w:rPr>
            <w:color w:val="0000EE"/>
            <w:u w:val="single"/>
          </w:rPr>
          <w:t>[1]</w:t>
        </w:r>
      </w:hyperlink>
      <w:hyperlink r:id="rId13">
        <w:r>
          <w:rPr>
            <w:color w:val="0000EE"/>
            <w:u w:val="single"/>
          </w:rPr>
          <w:t>[5]</w:t>
        </w:r>
      </w:hyperlink>
      <w:hyperlink r:id="rId14">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(Kalkine Media) - Paragraph 1, Paragraph 2, Paragraph 5, Paragraph 6, Paragraph 7, Paragraph 8 </w:t>
      </w:r>
      <w:r/>
    </w:p>
    <w:p>
      <w:pPr>
        <w:pStyle w:val="ListBullet"/>
        <w:spacing w:line="240" w:lineRule="auto"/>
        <w:ind w:left="720"/>
      </w:pPr>
      <w:r/>
      <w:hyperlink r:id="rId10">
        <w:r>
          <w:rPr>
            <w:color w:val="0000EE"/>
            <w:u w:val="single"/>
          </w:rPr>
          <w:t>[6]</w:t>
        </w:r>
      </w:hyperlink>
      <w:r>
        <w:t xml:space="preserve"> (The Motley Fool Australia) - Paragraph 2, Paragraph 6, Paragraph 7 </w:t>
      </w:r>
      <w:r/>
    </w:p>
    <w:p>
      <w:pPr>
        <w:pStyle w:val="ListBullet"/>
        <w:spacing w:line="240" w:lineRule="auto"/>
        <w:ind w:left="720"/>
      </w:pPr>
      <w:r/>
      <w:hyperlink r:id="rId11">
        <w:r>
          <w:rPr>
            <w:color w:val="0000EE"/>
            <w:u w:val="single"/>
          </w:rPr>
          <w:t>[2]</w:t>
        </w:r>
      </w:hyperlink>
      <w:r>
        <w:t xml:space="preserve"> (Reuters) - Paragraph 3, Paragraph 8 </w:t>
      </w:r>
      <w:r/>
    </w:p>
    <w:p>
      <w:pPr>
        <w:pStyle w:val="ListBullet"/>
        <w:spacing w:line="240" w:lineRule="auto"/>
        <w:ind w:left="720"/>
      </w:pPr>
      <w:r/>
      <w:hyperlink r:id="rId12">
        <w:r>
          <w:rPr>
            <w:color w:val="0000EE"/>
            <w:u w:val="single"/>
          </w:rPr>
          <w:t>[3]</w:t>
        </w:r>
      </w:hyperlink>
      <w:r>
        <w:t xml:space="preserve"> (Reuters) - Paragraph 3, Paragraph 6 </w:t>
      </w:r>
      <w:r/>
    </w:p>
    <w:p>
      <w:pPr>
        <w:pStyle w:val="ListBullet"/>
        <w:spacing w:line="240" w:lineRule="auto"/>
        <w:ind w:left="720"/>
      </w:pPr>
      <w:r/>
      <w:hyperlink r:id="rId13">
        <w:r>
          <w:rPr>
            <w:color w:val="0000EE"/>
            <w:u w:val="single"/>
          </w:rPr>
          <w:t>[5]</w:t>
        </w:r>
      </w:hyperlink>
      <w:r>
        <w:t xml:space="preserve"> (Reuters) - Paragraph 3, Paragraph 8 </w:t>
      </w:r>
      <w:r/>
    </w:p>
    <w:p>
      <w:pPr>
        <w:pStyle w:val="ListBullet"/>
        <w:spacing w:line="240" w:lineRule="auto"/>
        <w:ind w:left="720"/>
      </w:pPr>
      <w:r/>
      <w:hyperlink r:id="rId14">
        <w:r>
          <w:rPr>
            <w:color w:val="0000EE"/>
            <w:u w:val="single"/>
          </w:rPr>
          <w:t>[4]</w:t>
        </w:r>
      </w:hyperlink>
      <w:r>
        <w:t xml:space="preserve"> (Reuters) - Paragraph 4,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https://kalkinemedia.com/au/news/market-updates/asx-200-tech-reset-that-has-investors-paying-attention</w:t>
        </w:r>
      </w:hyperlink>
      <w:r>
        <w:t xml:space="preserve"> - Please view link - unable to able to access data</w:t>
      </w:r>
      <w:r/>
    </w:p>
    <w:p>
      <w:pPr>
        <w:pStyle w:val="ListNumber"/>
        <w:spacing w:line="240" w:lineRule="auto"/>
        <w:ind w:left="720"/>
      </w:pPr>
      <w:r/>
      <w:hyperlink r:id="rId11">
        <w:r>
          <w:rPr>
            <w:color w:val="0000EE"/>
            <w:u w:val="single"/>
          </w:rPr>
          <w:t>https://www.reuters.com/world/asia-pacific/australia-regulator-imposes-nearly-100-million-additional-charge-asx-after-2025-12-14/</w:t>
        </w:r>
      </w:hyperlink>
      <w:r>
        <w:t xml:space="preserve"> - The Australian Securities Exchange (ASX) announced a reduction in its dividend payout ratio to 75–85% of underlying net profit after tax, following an additional A$150 million capital charge imposed by the Australian Securities and Investments Commission (ASIC). This regulatory action stemmed from an inquiry into ASX’s operational failures, including a failed software upgrade and recurring trade-processing issues. ASIC's review panel criticized ASX for prioritizing short-term profits over its infrastructure responsibilities. As a corrective measure, ASIC will reset ASX’s 'Accelerate' program with new risk and performance targets, in collaboration with the Reserve Bank of Australia. ASX plans a discounted dividend reinvestment plan and expects its payout ratio to remain at the lower end of the range for the next three dividends. Additionally, the firm lowered its medium-term return on equity target to 12.5–14.0%. ASX Chair David Clarke acknowledged the challenges outlined in the report and pledged commitment to strategic reforms. Australian Treasurer Jim Chalmers welcomed the actions, emphasizing the urgency of addressing the highlighted issues. ASX shares fell by up to 5.1% following the news. (</w:t>
      </w:r>
      <w:hyperlink r:id="rId16">
        <w:r>
          <w:rPr>
            <w:color w:val="0000EE"/>
            <w:u w:val="single"/>
          </w:rPr>
          <w:t>reuters.com</w:t>
        </w:r>
      </w:hyperlink>
      <w:r>
        <w:t>)</w:t>
      </w:r>
      <w:r/>
    </w:p>
    <w:p>
      <w:pPr>
        <w:pStyle w:val="ListNumber"/>
        <w:spacing w:line="240" w:lineRule="auto"/>
        <w:ind w:left="720"/>
      </w:pPr>
      <w:r/>
      <w:hyperlink r:id="rId12">
        <w:r>
          <w:rPr>
            <w:color w:val="0000EE"/>
            <w:u w:val="single"/>
          </w:rPr>
          <w:t>https://www.reuters.com/sustainability/boards-policy-regulation/australias-asic-initiates-probe-into-bourse-operator-asx-2025-06-15/</w:t>
        </w:r>
      </w:hyperlink>
      <w:r>
        <w:t xml:space="preserve"> - Australia's corporate regulator, the Australian Securities and Investments Commission (ASIC), has launched a broad investigation into the Australian Securities Exchange (ASX) amid longstanding concerns over critical market infrastructure failures. The probe, backed by the Reserve Bank of Australia (RBA), comes after a series of technical issues, including a December 2024 malfunction in ASX's settlement technology. ASIC has replaced its prior review with an expert panel to assess ASX’s governance, risk management, and operational capabilities. This investigation follows years of problems, such as a major outage in 2020 and a failed attempt to modernize its clearing system using custom blockchain-like technology, abandoned in 2022. ASX’s stock dropped 7% following the announcement. The company acknowledged the severity of the situation and is cooperating with regulators. It is also working with Tata Consultancy Services on a new phased upgrade, with the first phase expected in 2026. The RBA declined to comment, and ASIC plans to release the findings of the investigation at a later date. (</w:t>
      </w:r>
      <w:hyperlink r:id="rId17">
        <w:r>
          <w:rPr>
            <w:color w:val="0000EE"/>
            <w:u w:val="single"/>
          </w:rPr>
          <w:t>reuters.com</w:t>
        </w:r>
      </w:hyperlink>
      <w:r>
        <w:t>)</w:t>
      </w:r>
      <w:r/>
    </w:p>
    <w:p>
      <w:pPr>
        <w:pStyle w:val="ListNumber"/>
        <w:spacing w:line="240" w:lineRule="auto"/>
        <w:ind w:left="720"/>
      </w:pPr>
      <w:r/>
      <w:hyperlink r:id="rId14">
        <w:r>
          <w:rPr>
            <w:color w:val="0000EE"/>
            <w:u w:val="single"/>
          </w:rPr>
          <w:t>https://www.reuters.com/markets/australia-considers-allowing-dual-class-share-listings-first-time-exchange-executive-says-2025-03-12/</w:t>
        </w:r>
      </w:hyperlink>
      <w:r>
        <w:t xml:space="preserve"> - The Australian Securities Exchange (ASX) is considering permitting dual-class share listings for the first time, in an effort to revitalize the country’s underperforming listings market. Currently, Australia does not allow dual-class shares, which puts it at a disadvantage compared to global markets like the U.S. and the U.K., where such structures are increasingly common. Dual-class shares offer different voting rights for different classes of stock, a setup that has drawn both criticism for reducing shareholder rights and praise for encouraging listings. ASX's executive Blair Beaton emphasized that opinions are divided but believes now is the right time to revisit the idea, noting that the Australian equity market has evolved since the concept was last considered in 2007. The move comes amid pressure from the Australian Securities and Investments Commission (ASIC) to make regulatory changes that could stimulate IPO activity. In 2024, IPOs raised only $2 billion, with $1.3 billion coming from just one company, Digico, marking the weakest performance in nearly a decade. In 2025, the only new listings have been investment trusts raising A$300 million each. (</w:t>
      </w:r>
      <w:hyperlink r:id="rId18">
        <w:r>
          <w:rPr>
            <w:color w:val="0000EE"/>
            <w:u w:val="single"/>
          </w:rPr>
          <w:t>reuters.com</w:t>
        </w:r>
      </w:hyperlink>
      <w:r>
        <w:t>)</w:t>
      </w:r>
      <w:r/>
    </w:p>
    <w:p>
      <w:pPr>
        <w:pStyle w:val="ListNumber"/>
        <w:spacing w:line="240" w:lineRule="auto"/>
        <w:ind w:left="720"/>
      </w:pPr>
      <w:r/>
      <w:hyperlink r:id="rId13">
        <w:r>
          <w:rPr>
            <w:color w:val="0000EE"/>
            <w:u w:val="single"/>
          </w:rPr>
          <w:t>https://www.reuters.com/technology/australian-stock-exchange-targets-2029-phase-two-trading-software-overhaul-2024-11-25/</w:t>
        </w:r>
      </w:hyperlink>
      <w:r>
        <w:t xml:space="preserve"> - The Australian Securities Exchange (ASX) announced plans to complete Phase 2 of its clearing and settlement software overhaul by 2029, with estimated costs ranging from A$270 million to A$320 million. Phase 1, involving the clearing service, is targeted for delivery in 2026, with costs expected near the higher end of its A$105 million to A$125 million estimate. ASX shares dropped up to 4% following the announcement. This overhaul follows the 2022 abandonment of a prior blockchain-based CHESS replacement project due to concerns over complexity and scalability. ASX is now taking a more cautious, product-based approach in partnership with Tata Consultancy Services, requiring less customization. The 2029 timeline for Phase 2 was set after extensive industry consultation. Meanwhile, ASX faces a lawsuit from the Australian Securities and Investments Commission (ASIC), which accuses the exchange of misleading the public about prior upgrade progress. Increased staffing costs tied to regulatory obligations also contributed to a 15% rise in 2024 expenses, resulting in lower-than-expected profits. (</w:t>
      </w:r>
      <w:hyperlink r:id="rId19">
        <w:r>
          <w:rPr>
            <w:color w:val="0000EE"/>
            <w:u w:val="single"/>
          </w:rPr>
          <w:t>reuters.com</w:t>
        </w:r>
      </w:hyperlink>
      <w:r>
        <w:t>)</w:t>
      </w:r>
      <w:r/>
    </w:p>
    <w:p>
      <w:pPr>
        <w:pStyle w:val="ListNumber"/>
        <w:spacing w:line="240" w:lineRule="auto"/>
        <w:ind w:left="720"/>
      </w:pPr>
      <w:r/>
      <w:hyperlink r:id="rId10">
        <w:r>
          <w:rPr>
            <w:color w:val="0000EE"/>
            <w:u w:val="single"/>
          </w:rPr>
          <w:t>https://www.fool.com.au/2025/11/26/bear-market-alert-asx-200-tech-shares-down-24-since-september-peak/</w:t>
        </w:r>
      </w:hyperlink>
      <w:r>
        <w:t xml:space="preserve"> - ASX 200 tech and healthcare shares are in bear territory partly because each sector's largest company has been significantly derated. In the tech sector, WiseTech Global Ltd (ASX: WTC) shares have fallen 51% from their 52-week high of $134.26 on 5 December 2024. Governance concerns have plagued the logistics software supplier this year, along with investors' disappointment with FY25 earnings. In the healthcare sector, CSL Ltd (ASX: CSL) shares are down 37% since their 52-week high of $290.32 per share on 8 January. The global biotech has been hit by weaker global flu vaccine demand and is undergoing a major restructure, including 3,000 job cuts. It's notable that ASX 200 healthcare shares have fallen 23.6% over 10 months, while tech shares have plummeted 24.3% in two months. This may indicate that ASX 200 tech shares are facing other immediate tailwinds. One of them is the concern that artificial intelligence (AI) is creating a market bubble. (</w:t>
      </w:r>
      <w:hyperlink r:id="rId20">
        <w:r>
          <w:rPr>
            <w:color w:val="0000EE"/>
            <w:u w:val="single"/>
          </w:rPr>
          <w:t>fool.com.au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news/market-updates/asx-200-tech-reset-that-has-investors-paying-attention" TargetMode="External"/><Relationship Id="rId10" Type="http://schemas.openxmlformats.org/officeDocument/2006/relationships/hyperlink" Target="https://www.fool.com.au/2025/11/26/bear-market-alert-asx-200-tech-shares-down-24-since-september-peak/" TargetMode="External"/><Relationship Id="rId11" Type="http://schemas.openxmlformats.org/officeDocument/2006/relationships/hyperlink" Target="https://www.reuters.com/world/asia-pacific/australia-regulator-imposes-nearly-100-million-additional-charge-asx-after-2025-12-14/" TargetMode="External"/><Relationship Id="rId12" Type="http://schemas.openxmlformats.org/officeDocument/2006/relationships/hyperlink" Target="https://www.reuters.com/sustainability/boards-policy-regulation/australias-asic-initiates-probe-into-bourse-operator-asx-2025-06-15/" TargetMode="External"/><Relationship Id="rId13" Type="http://schemas.openxmlformats.org/officeDocument/2006/relationships/hyperlink" Target="https://www.reuters.com/technology/australian-stock-exchange-targets-2029-phase-two-trading-software-overhaul-2024-11-25/" TargetMode="External"/><Relationship Id="rId14" Type="http://schemas.openxmlformats.org/officeDocument/2006/relationships/hyperlink" Target="https://www.reuters.com/markets/australia-considers-allowing-dual-class-share-listings-first-time-exchange-executive-says-2025-03-12/"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asia-pacific/australia-regulator-imposes-nearly-100-million-additional-charge-asx-after-2025-12-14/?utm_source=openai" TargetMode="External"/><Relationship Id="rId17" Type="http://schemas.openxmlformats.org/officeDocument/2006/relationships/hyperlink" Target="https://www.reuters.com/sustainability/boards-policy-regulation/australias-asic-initiates-probe-into-bourse-operator-asx-2025-06-15/?utm_source=openai" TargetMode="External"/><Relationship Id="rId18" Type="http://schemas.openxmlformats.org/officeDocument/2006/relationships/hyperlink" Target="https://www.reuters.com/markets/australia-consider-allowing-dual-class-share-listings-first-time-exchange-2025-03-12/?utm_source=openai" TargetMode="External"/><Relationship Id="rId19" Type="http://schemas.openxmlformats.org/officeDocument/2006/relationships/hyperlink" Target="https://www.reuters.com/technology/australian-stock-exchange-targets-2029-phase-two-trading-software-overhaul-2024-11-25/?utm_source=openai" TargetMode="External"/><Relationship Id="rId20" Type="http://schemas.openxmlformats.org/officeDocument/2006/relationships/hyperlink" Target="https://www.fool.com.au/2025/11/26/bear-market-alert-asx-200-tech-shares-down-24-since-september-pea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