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and AI innovations revolutionise contact centre engagement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way businesses engage customers is shifting from fragmented, channel-specific interactions to seamless, intelligence-driven conversations, driven by cloud platforms, artificial intelligence and changing customer expectations. According to the original report, Contact Centre as a Service (CCaaS) combined with omnichannel customer experience has become the structural backbone for organisations seeking consistent, personalised and scalable engagement across voice, chat, email, social and messaging apps. </w:t>
      </w:r>
      <w:hyperlink r:id="rId9">
        <w:r>
          <w:rPr>
            <w:color w:val="0000EE"/>
            <w:u w:val="single"/>
          </w:rPr>
          <w:t>[1]</w:t>
        </w:r>
      </w:hyperlink>
      <w:r/>
    </w:p>
    <w:p>
      <w:r/>
      <w:r>
        <w:t xml:space="preserve">CCaaS is a cloud-based delivery model that replaces hardware-bound contact centres with subscription, API-first platforms that can be updated and scaled in real time. The original report stresses that this shift reduces deployment complexity and enables faster feature rollout, while industry analysis shows vendors are consolidating capabilities through open APIs, microservices and deeper CRM integrations. </w:t>
      </w:r>
      <w:hyperlink r:id="rId9">
        <w:r>
          <w:rPr>
            <w:color w:val="0000EE"/>
            <w:u w:val="single"/>
          </w:rPr>
          <w:t>[1]</w:t>
        </w:r>
      </w:hyperlink>
      <w:hyperlink r:id="rId10">
        <w:r>
          <w:rPr>
            <w:color w:val="0000EE"/>
            <w:u w:val="single"/>
          </w:rPr>
          <w:t>[2]</w:t>
        </w:r>
      </w:hyperlink>
      <w:r/>
    </w:p>
    <w:p>
      <w:r/>
      <w:r>
        <w:t xml:space="preserve">Omnichannel customer experience, distinct from multichannel approaches, unifies context, history and data so customers do not repeat themselves when they switch channels. The original report argues that pairing omnichannel design with CCaaS gives businesses both agility and continuity; market reports for 2024–25 reinforce this, noting that unified engagement platforms are rapidly becoming table stakes. </w:t>
      </w:r>
      <w:hyperlink r:id="rId9">
        <w:r>
          <w:rPr>
            <w:color w:val="0000EE"/>
            <w:u w:val="single"/>
          </w:rPr>
          <w:t>[1]</w:t>
        </w:r>
      </w:hyperlink>
      <w:hyperlink r:id="rId11">
        <w:r>
          <w:rPr>
            <w:color w:val="0000EE"/>
            <w:u w:val="single"/>
          </w:rPr>
          <w:t>[3]</w:t>
        </w:r>
      </w:hyperlink>
      <w:r/>
    </w:p>
    <w:p>
      <w:r/>
      <w:r>
        <w:t xml:space="preserve">Cloud contact centre solutions provide the operational foundation for these changes: they support remote and hybrid workforces, elastic capacity to manage fluctuating demand, and continuous deployment of features without downtime. According to sector reporting, cloud-native scalability and reliability , including real-time monitoring and automated failover , are among the leading requirements for enterprises migrating from legacy systems. </w:t>
      </w:r>
      <w:hyperlink r:id="rId9">
        <w:r>
          <w:rPr>
            <w:color w:val="0000EE"/>
            <w:u w:val="single"/>
          </w:rPr>
          <w:t>[1]</w:t>
        </w:r>
      </w:hyperlink>
      <w:hyperlink r:id="rId10">
        <w:r>
          <w:rPr>
            <w:color w:val="0000EE"/>
            <w:u w:val="single"/>
          </w:rPr>
          <w:t>[2]</w:t>
        </w:r>
      </w:hyperlink>
      <w:r/>
    </w:p>
    <w:p>
      <w:r/>
      <w:r>
        <w:t xml:space="preserve">Artificial intelligence is the single most transformative element reshaping contact centres. The original report describes AI beyond simple chatbots , powering virtual agents, intelligent routing, sentiment analysis and real-time agent assistance , and recent industry pieces concur, emphasising predictive analytics and conversational AI as central trends for 2024–25.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Automation and intelligent workflows are extending AI’s reach by orchestrating event-driven processes that adapt to customer actions. The original report highlights automated follow-ups, dynamic self-service and AI decision engines; market research notes this reduces repetitive tasks, shortens response times and enables proactive issue resolution. </w:t>
      </w:r>
      <w:hyperlink r:id="rId9">
        <w:r>
          <w:rPr>
            <w:color w:val="0000EE"/>
            <w:u w:val="single"/>
          </w:rPr>
          <w:t>[1]</w:t>
        </w:r>
      </w:hyperlink>
      <w:hyperlink r:id="rId13">
        <w:r>
          <w:rPr>
            <w:color w:val="0000EE"/>
            <w:u w:val="single"/>
          </w:rPr>
          <w:t>[6]</w:t>
        </w:r>
      </w:hyperlink>
      <w:r/>
    </w:p>
    <w:p>
      <w:r/>
      <w:r>
        <w:t xml:space="preserve">Omnichannel communication platforms act as the connective tissue, integrating voice, messaging, social and video into a single agent and analytics surface. The original report points to richer modalities , co-browsing, video support and asynchronous messaging , and contemporaneous analyses underline the importance of centralised reporting and journey tracking to maintain continuity and measure impact. </w:t>
      </w:r>
      <w:hyperlink r:id="rId9">
        <w:r>
          <w:rPr>
            <w:color w:val="0000EE"/>
            <w:u w:val="single"/>
          </w:rPr>
          <w:t>[1]</w:t>
        </w:r>
      </w:hyperlink>
      <w:hyperlink r:id="rId14">
        <w:r>
          <w:rPr>
            <w:color w:val="0000EE"/>
            <w:u w:val="single"/>
          </w:rPr>
          <w:t>[5]</w:t>
        </w:r>
      </w:hyperlink>
      <w:r/>
    </w:p>
    <w:p>
      <w:r/>
      <w:r>
        <w:t xml:space="preserve">Data-driven personalisation is becoming more sophisticated as CCaaS platforms unify customer profiles across systems. The original report forecasts predictive personalisation powered by machine learning, while market observers warn that achieving this at scale will require careful governance to balance customer trust, privacy regulations and transparency. </w:t>
      </w:r>
      <w:hyperlink r:id="rId9">
        <w:r>
          <w:rPr>
            <w:color w:val="0000EE"/>
            <w:u w:val="single"/>
          </w:rPr>
          <w:t>[1]</w:t>
        </w:r>
      </w:hyperlink>
      <w:hyperlink r:id="rId10">
        <w:r>
          <w:rPr>
            <w:color w:val="0000EE"/>
            <w:u w:val="single"/>
          </w:rPr>
          <w:t>[2]</w:t>
        </w:r>
      </w:hyperlink>
      <w:r/>
    </w:p>
    <w:p>
      <w:r/>
      <w:r>
        <w:t xml:space="preserve">People remain central: the original report emphasises agent empowerment through AI-assisted coaching, performance analytics and flexible work models. Industry coverage for 2025 highlights workforce optimisation as essential , not only for efficiency but for retention and the quality of human interactions that technology is intended to augment. </w:t>
      </w:r>
      <w:hyperlink r:id="rId9">
        <w:r>
          <w:rPr>
            <w:color w:val="0000EE"/>
            <w:u w:val="single"/>
          </w:rPr>
          <w:t>[1]</w:t>
        </w:r>
      </w:hyperlink>
      <w:hyperlink r:id="rId12">
        <w:r>
          <w:rPr>
            <w:color w:val="0000EE"/>
            <w:u w:val="single"/>
          </w:rPr>
          <w:t>[4]</w:t>
        </w:r>
      </w:hyperlink>
      <w:r/>
    </w:p>
    <w:p>
      <w:r/>
      <w:r>
        <w:t xml:space="preserve">Security, compliance and ecosystem integration are recurring constraints and enablers. The original report stresses robust encryption, identity management and audits as trust differentiators; wider sector sources add that open architectures and third-party integrations are expanding the CCaaS landscape, enabling CRM, marketing and e‑commerce alignment but increasing the need for vigilant security posture. </w:t>
      </w:r>
      <w:hyperlink r:id="rId9">
        <w:r>
          <w:rPr>
            <w:color w:val="0000EE"/>
            <w:u w:val="single"/>
          </w:rPr>
          <w:t>[1]</w:t>
        </w:r>
      </w:hyperlink>
      <w:hyperlink r:id="rId11">
        <w:r>
          <w:rPr>
            <w:color w:val="0000EE"/>
            <w:u w:val="single"/>
          </w:rPr>
          <w:t>[3]</w:t>
        </w:r>
      </w:hyperlink>
      <w:hyperlink r:id="rId15">
        <w:r>
          <w:rPr>
            <w:color w:val="0000EE"/>
            <w:u w:val="single"/>
          </w:rPr>
          <w:t>[7]</w:t>
        </w:r>
      </w:hyperlink>
      <w:r/>
    </w:p>
    <w:p>
      <w:r/>
      <w:r>
        <w:t xml:space="preserve">Measuring success is migrating from traditional efficiency metrics to experience-centred outcomes. The original report recommends CSAT, NPS, customer effort and first-contact resolution, and industry analyses say AI-driven analytics will increasingly link operational performance to revenue and lifetime value, enabling continuous optimisation and clearer ROI. </w:t>
      </w:r>
      <w:hyperlink r:id="rId9">
        <w:r>
          <w:rPr>
            <w:color w:val="0000EE"/>
            <w:u w:val="single"/>
          </w:rPr>
          <w:t>[1]</w:t>
        </w:r>
      </w:hyperlink>
      <w:hyperlink r:id="rId10">
        <w:r>
          <w:rPr>
            <w:color w:val="0000EE"/>
            <w:u w:val="single"/>
          </w:rPr>
          <w:t>[2]</w:t>
        </w:r>
      </w:hyperlink>
      <w:hyperlink r:id="rId15">
        <w:r>
          <w:rPr>
            <w:color w:val="0000EE"/>
            <w:u w:val="single"/>
          </w:rPr>
          <w:t>[7]</w:t>
        </w:r>
      </w:hyperlink>
      <w:r/>
    </w:p>
    <w:p>
      <w:r/>
      <w:r>
        <w:t xml:space="preserve">Adoption challenges persist: the original report warns of change management, data migration and integration complexity, and experts suggest phased implementations, governance frameworks and employee training as practical mitigations. Looking ahead, the long-term vision remains one of convergence , where cloud, AI and human-centred design produce empathic, predictive and resilient engagement models that differentiate brands in competitive markets. </w:t>
      </w:r>
      <w:hyperlink r:id="rId9">
        <w:r>
          <w:rPr>
            <w:color w:val="0000EE"/>
            <w:u w:val="single"/>
          </w:rPr>
          <w:t>[1]</w:t>
        </w:r>
      </w:hyperlink>
      <w:hyperlink r:id="rId13">
        <w:r>
          <w:rPr>
            <w:color w:val="0000EE"/>
            <w:u w:val="single"/>
          </w:rPr>
          <w:t>[6]</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(Star Telelogic blog) - Paragraph 1, Paragraph 2, Paragraph 3, Paragraph 4, Paragraph 5, Paragraph 6, Paragraph 7, Paragraph 8, Paragraph 9, Paragraph 10, Paragraph 11</w:t>
      </w:r>
      <w:r/>
    </w:p>
    <w:p>
      <w:pPr>
        <w:pStyle w:val="ListBullet"/>
        <w:spacing w:line="240" w:lineRule="auto"/>
        <w:ind w:left="720"/>
      </w:pPr>
      <w:r/>
      <w:hyperlink r:id="rId10">
        <w:r>
          <w:rPr>
            <w:color w:val="0000EE"/>
            <w:u w:val="single"/>
          </w:rPr>
          <w:t>[2]</w:t>
        </w:r>
      </w:hyperlink>
      <w:r>
        <w:t xml:space="preserve"> (Verified Market Reports) - Paragraph 2, Paragraph 5, Paragraph 9, Paragraph 11</w:t>
      </w:r>
      <w:r/>
    </w:p>
    <w:p>
      <w:pPr>
        <w:pStyle w:val="ListBullet"/>
        <w:spacing w:line="240" w:lineRule="auto"/>
        <w:ind w:left="720"/>
      </w:pPr>
      <w:r/>
      <w:hyperlink r:id="rId11">
        <w:r>
          <w:rPr>
            <w:color w:val="0000EE"/>
            <w:u w:val="single"/>
          </w:rPr>
          <w:t>[3]</w:t>
        </w:r>
      </w:hyperlink>
      <w:r>
        <w:t xml:space="preserve"> (Sobot) - Paragraph 3, Paragraph 8</w:t>
      </w:r>
      <w:r/>
    </w:p>
    <w:p>
      <w:pPr>
        <w:pStyle w:val="ListBullet"/>
        <w:spacing w:line="240" w:lineRule="auto"/>
        <w:ind w:left="720"/>
      </w:pPr>
      <w:r/>
      <w:hyperlink r:id="rId12">
        <w:r>
          <w:rPr>
            <w:color w:val="0000EE"/>
            <w:u w:val="single"/>
          </w:rPr>
          <w:t>[4]</w:t>
        </w:r>
      </w:hyperlink>
      <w:r>
        <w:t xml:space="preserve"> (ITBroker) - Paragraph 5, Paragraph 9, Paragraph 11</w:t>
      </w:r>
      <w:r/>
    </w:p>
    <w:p>
      <w:pPr>
        <w:pStyle w:val="ListBullet"/>
        <w:spacing w:line="240" w:lineRule="auto"/>
        <w:ind w:left="720"/>
      </w:pPr>
      <w:r/>
      <w:hyperlink r:id="rId14">
        <w:r>
          <w:rPr>
            <w:color w:val="0000EE"/>
            <w:u w:val="single"/>
          </w:rPr>
          <w:t>[5]</w:t>
        </w:r>
      </w:hyperlink>
      <w:r>
        <w:t xml:space="preserve"> (Frontline Group) - Paragraph 7</w:t>
      </w:r>
      <w:r/>
    </w:p>
    <w:p>
      <w:pPr>
        <w:pStyle w:val="ListBullet"/>
        <w:spacing w:line="240" w:lineRule="auto"/>
        <w:ind w:left="720"/>
      </w:pPr>
      <w:r/>
      <w:hyperlink r:id="rId13">
        <w:r>
          <w:rPr>
            <w:color w:val="0000EE"/>
            <w:u w:val="single"/>
          </w:rPr>
          <w:t>[6]</w:t>
        </w:r>
      </w:hyperlink>
      <w:r>
        <w:t xml:space="preserve"> (Edas.tech) - Paragraph 6, Paragraph 11</w:t>
      </w:r>
      <w:r/>
    </w:p>
    <w:p>
      <w:pPr>
        <w:pStyle w:val="ListBullet"/>
        <w:spacing w:line="240" w:lineRule="auto"/>
        <w:ind w:left="720"/>
      </w:pPr>
      <w:r/>
      <w:hyperlink r:id="rId15">
        <w:r>
          <w:rPr>
            <w:color w:val="0000EE"/>
            <w:u w:val="single"/>
          </w:rPr>
          <w:t>[7]</w:t>
        </w:r>
      </w:hyperlink>
      <w:r>
        <w:t xml:space="preserve"> (CallTower) - Paragraph 8,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https://startelelogic.com/blog/ccaas-and-omnichannel-customer-experience-trends/?utm_source=rss&amp;utm_medium=rss&amp;utm_campaign=ccaas-and-omnichannel-customer-experience-trends</w:t>
        </w:r>
      </w:hyperlink>
      <w:r>
        <w:t xml:space="preserve"> - Please view link - unable to able to access data</w:t>
      </w:r>
      <w:r/>
    </w:p>
    <w:p>
      <w:pPr>
        <w:pStyle w:val="ListNumber"/>
        <w:spacing w:line="240" w:lineRule="auto"/>
        <w:ind w:left="720"/>
      </w:pPr>
      <w:r/>
      <w:hyperlink r:id="rId10">
        <w:r>
          <w:rPr>
            <w:color w:val="0000EE"/>
            <w:u w:val="single"/>
          </w:rPr>
          <w:t>https://www.verifiedmarketreports.com/blog/top-7-trends-shaping-the-contact-center-as-a-service-ccaas-market-in-2024/</w:t>
        </w:r>
      </w:hyperlink>
      <w:r>
        <w:t xml:space="preserve"> - This article discusses seven key trends shaping the Contact Center as a Service (CCaaS) market in 2024, including omnichannel customer engagement, AI-driven automation, advanced analytics, cloud-native scalability, personalization through AI, workforce optimization, and enhanced security. It highlights how AI revolutionizes customer experience management by automating routine interactions and providing real-time insights, leading to improved customer satisfaction and operational efficiency. The piece also emphasizes the importance of integrating multiple communication channels to deliver a seamless and consistent customer experience, and the role of cloud-based solutions in offering scalability and flexibility to businesses.</w:t>
      </w:r>
      <w:r/>
    </w:p>
    <w:p>
      <w:pPr>
        <w:pStyle w:val="ListNumber"/>
        <w:spacing w:line="240" w:lineRule="auto"/>
        <w:ind w:left="720"/>
      </w:pPr>
      <w:r/>
      <w:hyperlink r:id="rId11">
        <w:r>
          <w:rPr>
            <w:color w:val="0000EE"/>
            <w:u w:val="single"/>
          </w:rPr>
          <w:t>https://www.sobot.io/article/emerging-technologies-omnichannel-contact-centre-trends-2025/</w:t>
        </w:r>
      </w:hyperlink>
      <w:r>
        <w:t xml:space="preserve"> - This article explores how emerging technologies like AI, cloud platforms, and advanced digital solutions are transforming omnichannel contact centres. It highlights the rapid digital acceleration in 2025, with businesses investing heavily in digital tools to support omnichannel operations. The piece discusses the importance of seamless channel integration for consistent customer experiences, the role of AI and automation in improving response times and efficiency, and the significance of advanced analytics in gaining deeper insights into customer behaviour. It also touches upon the support for remote and hybrid work models facilitated by modern contact centre platforms.</w:t>
      </w:r>
      <w:r/>
    </w:p>
    <w:p>
      <w:pPr>
        <w:pStyle w:val="ListNumber"/>
        <w:spacing w:line="240" w:lineRule="auto"/>
        <w:ind w:left="720"/>
      </w:pPr>
      <w:r/>
      <w:hyperlink r:id="rId12">
        <w:r>
          <w:rPr>
            <w:color w:val="0000EE"/>
            <w:u w:val="single"/>
          </w:rPr>
          <w:t>https://www.itbroker.com/blog/essential-customer-engagement-and-ccaas-trends-for-2025</w:t>
        </w:r>
      </w:hyperlink>
      <w:r>
        <w:t xml:space="preserve"> - This article outlines essential customer engagement and CCaaS trends for 2025, focusing on AI integration, omnichannel support, advanced security, and workforce optimization. It discusses how AI is transforming CCaaS platforms by enabling predictive analytics, real-time insights, and conversational AI tools, helping businesses anticipate customer needs and personalize interactions. The piece also highlights the importance of omnichannel support, allowing customers to move seamlessly between voice, chat, and email without repeating themselves, and the need for advanced security measures to protect sensitive information and build customer trust.</w:t>
      </w:r>
      <w:r/>
    </w:p>
    <w:p>
      <w:pPr>
        <w:pStyle w:val="ListNumber"/>
        <w:spacing w:line="240" w:lineRule="auto"/>
        <w:ind w:left="720"/>
      </w:pPr>
      <w:r/>
      <w:hyperlink r:id="rId14">
        <w:r>
          <w:rPr>
            <w:color w:val="0000EE"/>
            <w:u w:val="single"/>
          </w:rPr>
          <w:t>https://frontline.group/how-ccaas-is-transforming-customer-engagement-in-2025/</w:t>
        </w:r>
      </w:hyperlink>
      <w:r>
        <w:t xml:space="preserve"> - This article examines how CCaaS is transforming customer engagement in 2025, with a focus on omnichannel integration. It discusses the shift in customer behaviour, where they expect seamless, uninterrupted experiences across multiple platforms, and how omnichannel CCaaS solutions unify all communication channels into a single, connected experience. The piece emphasizes the importance of reducing customer frustration by eliminating the need to repeat information when switching between channels and highlights the benefits of omnichannel integration in enhancing customer satisfaction and loyalty.</w:t>
      </w:r>
      <w:r/>
    </w:p>
    <w:p>
      <w:pPr>
        <w:pStyle w:val="ListNumber"/>
        <w:spacing w:line="240" w:lineRule="auto"/>
        <w:ind w:left="720"/>
      </w:pPr>
      <w:r/>
      <w:hyperlink r:id="rId13">
        <w:r>
          <w:rPr>
            <w:color w:val="0000EE"/>
            <w:u w:val="single"/>
          </w:rPr>
          <w:t>https://edas.tech/7-ccaas-solution-trends-of-2024/</w:t>
        </w:r>
      </w:hyperlink>
      <w:r>
        <w:t xml:space="preserve"> - This article provides insights into seven CCaaS solution trends of 2024, including the growing dependence on AI-powered customer service, persistent embrace of omnichannel communication, growing preference for self-service, and increased reliance on cloud-powered remote work. It discusses how AI enables CCaaS solutions to automate repetitive tasks and provide intelligent, personalized solutions, and how integrated platforms serve as the foundation for effective omnichannel communication, centralizing interactions and providing valuable insights into customer behaviour. The piece also highlights the importance of self-service channels and cloud-based platforms in enhancing operational flexibility and resilience.</w:t>
      </w:r>
      <w:r/>
    </w:p>
    <w:p>
      <w:pPr>
        <w:pStyle w:val="ListNumber"/>
        <w:spacing w:line="240" w:lineRule="auto"/>
        <w:ind w:left="720"/>
      </w:pPr>
      <w:r/>
      <w:hyperlink r:id="rId15">
        <w:r>
          <w:rPr>
            <w:color w:val="0000EE"/>
            <w:u w:val="single"/>
          </w:rPr>
          <w:t>https://info.calltower.com/blog/the-future-of-ccaas-2025-trends-redefining-contact-center-solutions</w:t>
        </w:r>
      </w:hyperlink>
      <w:r>
        <w:t xml:space="preserve"> - This article explores the future of CCaaS, focusing on trends redefining contact center solutions in 2025. It discusses the role of predictive analytics in anticipating customer needs and creating a more tailored and proactive customer experience, and how automation reduces wait times and streamlines processes, enhancing satisfaction and operational efficiency. The piece also highlights the importance of enhanced data analytics in unlocking actionable insights, omnichannel integration in delivering seamless communication, and the adoption of remote and hybrid work models in providing flexibility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rtelelogic.com/blog/ccaas-and-omnichannel-customer-experience-trends/?utm_source=rss&amp;utm_medium=rss&amp;utm_campaign=ccaas-and-omnichannel-customer-experience-trends" TargetMode="External"/><Relationship Id="rId10" Type="http://schemas.openxmlformats.org/officeDocument/2006/relationships/hyperlink" Target="https://www.verifiedmarketreports.com/blog/top-7-trends-shaping-the-contact-center-as-a-service-ccaas-market-in-2024/" TargetMode="External"/><Relationship Id="rId11" Type="http://schemas.openxmlformats.org/officeDocument/2006/relationships/hyperlink" Target="https://www.sobot.io/article/emerging-technologies-omnichannel-contact-centre-trends-2025/" TargetMode="External"/><Relationship Id="rId12" Type="http://schemas.openxmlformats.org/officeDocument/2006/relationships/hyperlink" Target="https://www.itbroker.com/blog/essential-customer-engagement-and-ccaas-trends-for-2025" TargetMode="External"/><Relationship Id="rId13" Type="http://schemas.openxmlformats.org/officeDocument/2006/relationships/hyperlink" Target="https://edas.tech/7-ccaas-solution-trends-of-2024/" TargetMode="External"/><Relationship Id="rId14" Type="http://schemas.openxmlformats.org/officeDocument/2006/relationships/hyperlink" Target="https://frontline.group/how-ccaas-is-transforming-customer-engagement-in-2025/" TargetMode="External"/><Relationship Id="rId15" Type="http://schemas.openxmlformats.org/officeDocument/2006/relationships/hyperlink" Target="https://info.calltower.com/blog/the-future-of-ccaas-2025-trends-redefining-contact-center-solu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