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firms leverage generative engine optimisation to secure AI search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Cybersecurity vendors are racing to shape how AI systems describe threats and defences, because the first sources cited in generative answers quietly steer analyst thinking, search visibility and, ultimately, sales pipelines. According to the original report, Generative Engine Optimisation (GEO) , the practice of structuring content so large language models can reliably extract and cite it , is becoming one of the few dependable levers for vendors to appear in AI-driven threat-intelligence answers. </w:t>
      </w:r>
      <w:hyperlink r:id="rId9">
        <w:r>
          <w:rPr>
            <w:color w:val="0000EE"/>
            <w:u w:val="single"/>
          </w:rPr>
          <w:t>[1]</w:t>
        </w:r>
      </w:hyperlink>
      <w:hyperlink r:id="rId9">
        <w:r>
          <w:rPr>
            <w:color w:val="0000EE"/>
            <w:u w:val="single"/>
          </w:rPr>
          <w:t>[2]</w:t>
        </w:r>
      </w:hyperlink>
      <w:r/>
    </w:p>
    <w:p>
      <w:r/>
      <w:r>
        <w:t xml:space="preserve">Generative engines favour content that mirrors the patterns they were trained on: concise definitions, consistent terminology, and explicit mappings between threat actors, techniques and controls. Industry commentary explains that pages which present structured headings for attack phases, boxed definitions for key concepts, and labelled sections for indicators of compromise, detection logic and remediation are far more likely to be synthesised into AI Overviews and conversational responses. </w:t>
      </w:r>
      <w:hyperlink r:id="rId9">
        <w:r>
          <w:rPr>
            <w:color w:val="0000EE"/>
            <w:u w:val="single"/>
          </w:rPr>
          <w:t>[1]</w:t>
        </w:r>
      </w:hyperlink>
      <w:hyperlink r:id="rId9">
        <w:r>
          <w:rPr>
            <w:color w:val="0000EE"/>
            <w:u w:val="single"/>
          </w:rPr>
          <w:t>[2]</w:t>
        </w:r>
      </w:hyperlink>
      <w:r/>
    </w:p>
    <w:p>
      <w:r/>
      <w:r>
        <w:t xml:space="preserve">That placement has tangible business consequences. When an AI assistant repeatedly cites a vendor’s material while explaining a specific MITRE ATT&amp;CK technique or an incident playbook, analysts and buyers begin to associate the brand with authoritative guidance long before formal evaluation processes begin. Data-driven market reviews show that a small set of incumbents currently dominate AI search visibility in cybersecurity, reinforcing the advantage of early citation.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A practical framework for GEO converts this logic into day‑to‑day workflows. The recommended three-layer system , query intelligence, content and schema design, and authority plus technical foundations , ties persona-led query mapping to information architecture and site signals so generative engines can consistently interpret and surface material. According to the original report, aligning those layers with recognised frameworks such as MITRE or NIST makes extraction and attribution more likely. </w:t>
      </w:r>
      <w:hyperlink r:id="rId9">
        <w:r>
          <w:rPr>
            <w:color w:val="0000EE"/>
            <w:u w:val="single"/>
          </w:rPr>
          <w:t>[1]</w:t>
        </w:r>
      </w:hyperlink>
      <w:r/>
    </w:p>
    <w:p>
      <w:r/>
      <w:r>
        <w:t xml:space="preserve">Persona and intent mapping is central to that layer. Mapping CISOs, SOC managers, threat hunters, incident responders and compliance officers to distinct AI query types yields a content blueprint: executive decision frameworks for leaders, playbooks and integration blueprints for operations, technical runbooks and KQL/SPL examples for detection engineers, and regulatory mapping for compliance teams. This persona-aware clustering increases the chance that the right page answers the right AI prompt. </w:t>
      </w:r>
      <w:hyperlink r:id="rId9">
        <w:r>
          <w:rPr>
            <w:color w:val="0000EE"/>
            <w:u w:val="single"/>
          </w:rPr>
          <w:t>[1]</w:t>
        </w:r>
      </w:hyperlink>
      <w:r/>
    </w:p>
    <w:p>
      <w:r/>
      <w:r>
        <w:t xml:space="preserve">Operationalising GEO requires modest, repeatable processes so subject-matter experts contribute without being overwhelmed. The original guidance calls for weekly reviews of active campaigns, CVEs and customer questions; a decision whether to create net‑new pages or enhance hubs; and a GEO‑ready template for publication, internal linking and monitoring. Over time, a dense, interlinked content surface signals topical authority to both search engines and generative models. </w:t>
      </w:r>
      <w:hyperlink r:id="rId9">
        <w:r>
          <w:rPr>
            <w:color w:val="0000EE"/>
            <w:u w:val="single"/>
          </w:rPr>
          <w:t>[1]</w:t>
        </w:r>
      </w:hyperlink>
      <w:hyperlink r:id="rId9">
        <w:r>
          <w:rPr>
            <w:color w:val="0000EE"/>
            <w:u w:val="single"/>
          </w:rPr>
          <w:t>[2]</w:t>
        </w:r>
      </w:hyperlink>
      <w:r/>
    </w:p>
    <w:p>
      <w:r/>
      <w:r>
        <w:t xml:space="preserve">Local and international visibility must be treated as integral to GEO. For MSSPs, incident response firms and regional consultancies, geographically explicit pages are critical for urgent, high-intent queries such as “ransomware incident response in [city]”. The report advises bespoke location pages that go beyond token localisation to describe service territories, SLAs, typical industries served and regulatory considerations , signals that generative engines use to answer regionally constrained prompts. For global vendors, multilingual and regulatory-aligned content rather than literal translation improves discovery in regional AI responses. </w:t>
      </w:r>
      <w:hyperlink r:id="rId9">
        <w:r>
          <w:rPr>
            <w:color w:val="0000EE"/>
            <w:u w:val="single"/>
          </w:rPr>
          <w:t>[1]</w:t>
        </w:r>
      </w:hyperlink>
      <w:r/>
    </w:p>
    <w:p>
      <w:r/>
      <w:r>
        <w:t xml:space="preserve">Defensive SEO is now part of brand protection. Threat actors and opportunists increasingly employ SEO poisoning , lookalike domains and misleading guidance that can pollute AI training signals and search results. The lead analysis recommends treating search and generative answers as another attack surface: maintain a watchlist of queries, monitor AI-generated outputs, triage impersonation or misinformation, and publish authoritative, GEO‑formatted corrections to displace harmful sources. </w:t>
      </w:r>
      <w:hyperlink r:id="rId9">
        <w:r>
          <w:rPr>
            <w:color w:val="0000EE"/>
            <w:u w:val="single"/>
          </w:rPr>
          <w:t>[1]</w:t>
        </w:r>
      </w:hyperlink>
      <w:r/>
    </w:p>
    <w:p>
      <w:r/>
      <w:r>
        <w:t xml:space="preserve">Measuring GEO’s impact means connecting AI visibility to revenue rather than merely tracking rankings. The suggested metrics span AI and SERP inclusion, engagement and micro‑conversions, and pipeline influence , with dashboards that combine marketing, sales and product views. Experimentation on titles, definition boxes and CTAs , using controlled SEO testing tools , can materially lift click‑throughs and conversions from AI‑driven discovery into qualified opportunities. Market analyses of AI search visibility also highlight volatility across platforms, so vendors should expect differing optimisation approaches for ChatGPT, Gemini, Claude and others.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The competitive backdrop matters. Research on generative-AI cybersecurity offerings shows leading platforms from established vendors are already integrating AI into detection, automation and policy enforcement, and financial reporting from major firms points to escalating enterprise demand for AI‑enabled security tools. That commercial momentum raises both the upside of being cited in AI answers and the urgency of technical, editorial and defensive GEO measures to protect brand narratives as AI becomes a primary discovery channel. </w:t>
      </w:r>
      <w:hyperlink r:id="rId12">
        <w:r>
          <w:rPr>
            <w:color w:val="0000EE"/>
            <w:u w:val="single"/>
          </w:rPr>
          <w:t>[5]</w:t>
        </w:r>
      </w:hyperlink>
      <w:hyperlink r:id="rId13">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(Single Grain) - Paragraph 1, Paragraph 2, Paragraph 4, Paragraph 5, Paragraph 6, Paragraph 7, Paragraph 8, Paragraph 9 </w:t>
      </w:r>
      <w:r/>
    </w:p>
    <w:p>
      <w:pPr>
        <w:pStyle w:val="ListBullet"/>
        <w:spacing w:line="240" w:lineRule="auto"/>
        <w:ind w:left="720"/>
      </w:pPr>
      <w:r/>
      <w:hyperlink r:id="rId9">
        <w:r>
          <w:rPr>
            <w:color w:val="0000EE"/>
            <w:u w:val="single"/>
          </w:rPr>
          <w:t>[2]</w:t>
        </w:r>
      </w:hyperlink>
      <w:r>
        <w:t xml:space="preserve"> (Single Grain summary) - Paragraph 1, Paragraph 6 </w:t>
      </w:r>
      <w:r/>
    </w:p>
    <w:p>
      <w:pPr>
        <w:pStyle w:val="ListBullet"/>
        <w:spacing w:line="240" w:lineRule="auto"/>
        <w:ind w:left="720"/>
      </w:pPr>
      <w:r/>
      <w:hyperlink r:id="rId10">
        <w:r>
          <w:rPr>
            <w:color w:val="0000EE"/>
            <w:u w:val="single"/>
          </w:rPr>
          <w:t>[3]</w:t>
        </w:r>
      </w:hyperlink>
      <w:r>
        <w:t xml:space="preserve"> (Wellows) - Paragraph 3, Paragraph 9 </w:t>
      </w:r>
      <w:r/>
    </w:p>
    <w:p>
      <w:pPr>
        <w:pStyle w:val="ListBullet"/>
        <w:spacing w:line="240" w:lineRule="auto"/>
        <w:ind w:left="720"/>
      </w:pPr>
      <w:r/>
      <w:hyperlink r:id="rId11">
        <w:r>
          <w:rPr>
            <w:color w:val="0000EE"/>
            <w:u w:val="single"/>
          </w:rPr>
          <w:t>[4]</w:t>
        </w:r>
      </w:hyperlink>
      <w:r>
        <w:t xml:space="preserve"> (Geovector) - Paragraph 3, Paragraph 9 </w:t>
      </w:r>
      <w:r/>
    </w:p>
    <w:p>
      <w:pPr>
        <w:pStyle w:val="ListBullet"/>
        <w:spacing w:line="240" w:lineRule="auto"/>
        <w:ind w:left="720"/>
      </w:pPr>
      <w:r/>
      <w:hyperlink r:id="rId12">
        <w:r>
          <w:rPr>
            <w:color w:val="0000EE"/>
            <w:u w:val="single"/>
          </w:rPr>
          <w:t>[5]</w:t>
        </w:r>
      </w:hyperlink>
      <w:r>
        <w:t xml:space="preserve"> (ResearchAndMarkets) - Paragraph 10 </w:t>
      </w:r>
      <w:r/>
    </w:p>
    <w:p>
      <w:pPr>
        <w:pStyle w:val="ListBullet"/>
        <w:spacing w:line="240" w:lineRule="auto"/>
        <w:ind w:left="720"/>
      </w:pPr>
      <w:r/>
      <w:hyperlink r:id="rId13">
        <w:r>
          <w:rPr>
            <w:color w:val="0000EE"/>
            <w:u w:val="single"/>
          </w:rPr>
          <w:t>[6]</w:t>
        </w:r>
      </w:hyperlink>
      <w:r>
        <w:t xml:space="preserve"> (Reuters) - Paragraph 10 </w:t>
      </w:r>
      <w:r/>
    </w:p>
    <w:p>
      <w:pPr>
        <w:pStyle w:val="ListBullet"/>
        <w:spacing w:line="240" w:lineRule="auto"/>
        <w:ind w:left="720"/>
      </w:pPr>
      <w:r/>
      <w:hyperlink r:id="rId14">
        <w:r>
          <w:rPr>
            <w:color w:val="0000EE"/>
            <w:u w:val="single"/>
          </w:rPr>
          <w:t>[7]</w:t>
        </w:r>
      </w:hyperlink>
      <w:r>
        <w:t xml:space="preserve"> (Kiplinger)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https://www.singlegrain.com/artificial-intelligence/how-cybersecurity-companies-can-rank-in-ai-threat-intelligence-queries/</w:t>
        </w:r>
      </w:hyperlink>
      <w:r>
        <w:t xml:space="preserve"> - Please view link - unable to able to access data</w:t>
      </w:r>
      <w:r/>
    </w:p>
    <w:p>
      <w:pPr>
        <w:pStyle w:val="ListNumber"/>
        <w:spacing w:line="240" w:lineRule="auto"/>
        <w:ind w:left="720"/>
      </w:pPr>
      <w:r/>
      <w:hyperlink r:id="rId9">
        <w:r>
          <w:rPr>
            <w:color w:val="0000EE"/>
            <w:u w:val="single"/>
          </w:rPr>
          <w:t>https://www.singlegrain.com/artificial-intelligence/how-cybersecurity-companies-can-rank-in-ai-threat-intelligence-queries/</w:t>
        </w:r>
      </w:hyperlink>
      <w:r>
        <w:t xml:space="preserve"> - This article discusses how cybersecurity companies can optimise their content to rank in AI-driven threat intelligence queries. It introduces Generative Engine Optimisation (GEO), which involves structuring content to be AI-readable and trusted. The piece outlines strategies such as understanding AI query taxonomies, designing GEO-ready content structures, and capturing local and global demand for cybersecurity services. It also highlights the importance of defensive SEO against poisoning and measuring the impact of GEO efforts. The article concludes by emphasising the need for a strategic approach to turn GEO optimisation into a revenue engine.</w:t>
      </w:r>
      <w:r/>
    </w:p>
    <w:p>
      <w:pPr>
        <w:pStyle w:val="ListNumber"/>
        <w:spacing w:line="240" w:lineRule="auto"/>
        <w:ind w:left="720"/>
      </w:pPr>
      <w:r/>
      <w:hyperlink r:id="rId10">
        <w:r>
          <w:rPr>
            <w:color w:val="0000EE"/>
            <w:u w:val="single"/>
          </w:rPr>
          <w:t>https://wellows.com/blog/ai-search-visibility-for-cybersecurity-brands/</w:t>
        </w:r>
      </w:hyperlink>
      <w:r>
        <w:t xml:space="preserve"> - This blog post explores the concept of AI Search Visibility for cybersecurity brands, which measures how often a brand is mentioned in AI-generated answers across platforms like ChatGPT, Gemini, Copilot, and Perplexity. It highlights the importance of Generative Engine Optimisation (GEO) in structuring brand data so AI systems can interpret and recommend it accurately. The article provides insights into the current state of AI search visibility, noting that brands like CrowdStrike, Microsoft Defender, and Palo Alto Networks dominate visibility across AI platforms. It also offers strategies for cybersecurity brands to optimise their content for AI-generated search results.</w:t>
      </w:r>
      <w:r/>
    </w:p>
    <w:p>
      <w:pPr>
        <w:pStyle w:val="ListNumber"/>
        <w:spacing w:line="240" w:lineRule="auto"/>
        <w:ind w:left="720"/>
      </w:pPr>
      <w:r/>
      <w:hyperlink r:id="rId11">
        <w:r>
          <w:rPr>
            <w:color w:val="0000EE"/>
            <w:u w:val="single"/>
          </w:rPr>
          <w:t>https://www.geovector.ai/report/cybersecurity-okta</w:t>
        </w:r>
      </w:hyperlink>
      <w:r>
        <w:t xml:space="preserve"> - This industry intelligence report provides an AI search visibility analysis of the cybersecurity sector, based on data from 313 companies, 327 prompts, and 75,980 AI mentions across ChatGPT, Claude, and Gemini. It reveals that the top three brands—AWS, Microsoft, and Splunk—capture a significant portion of ChatGPT visibility in cybersecurity. The report also highlights the volatility in market positions, with companies like Zscaler experiencing significant week-over-week changes. It underscores the fragmented nature of the AI search landscape, noting that leadership and brand shares differ across platforms, necessitating separate optimisation strategies for each.</w:t>
      </w:r>
      <w:r/>
    </w:p>
    <w:p>
      <w:pPr>
        <w:pStyle w:val="ListNumber"/>
        <w:spacing w:line="240" w:lineRule="auto"/>
        <w:ind w:left="720"/>
      </w:pPr>
      <w:r/>
      <w:hyperlink r:id="rId12">
        <w:r>
          <w:rPr>
            <w:color w:val="0000EE"/>
            <w:u w:val="single"/>
          </w:rPr>
          <w:t>https://www.researchandmarkets.com/articles/key-companies-in-generative-ai-cybersecurity-market</w:t>
        </w:r>
      </w:hyperlink>
      <w:r>
        <w:t xml:space="preserve"> - This article profiles leading companies in the generative AI cybersecurity market, including Cisco, Palo Alto Networks, and Fortinet. It discusses how these companies are integrating generative AI into their cybersecurity solutions to enhance threat detection and prevention. For instance, Cisco leverages its global network to automate threat response and contextualise threat intelligence, while Palo Alto Networks integrates generative AI into its cloud-delivered solutions, setting industry benchmarks in behavioural analytics and AI-driven policy enforcement. The piece highlights the strategic importance of AI in the evolving cybersecurity landscape.</w:t>
      </w:r>
      <w:r/>
    </w:p>
    <w:p>
      <w:pPr>
        <w:pStyle w:val="ListNumber"/>
        <w:spacing w:line="240" w:lineRule="auto"/>
        <w:ind w:left="720"/>
      </w:pPr>
      <w:r/>
      <w:hyperlink r:id="rId13">
        <w:r>
          <w:rPr>
            <w:color w:val="0000EE"/>
            <w:u w:val="single"/>
          </w:rPr>
          <w:t>https://www.reuters.com/business/palo-altos-forecasts-signals-ai-boost-cybersecurity-tools-2025-08-18/</w:t>
        </w:r>
      </w:hyperlink>
      <w:r>
        <w:t xml:space="preserve"> - This Reuters article reports on Palo Alto Networks' strong fiscal 2026 revenue and profit forecasts, driven by surging demand for its AI-powered cybersecurity tools. The company's optimistic outlook follows increased enterprise adoption of cloud technologies and growing concerns over cyber threats. The article also mentions Palo Alto's new platforms, such as 'Cortex Cloud' and 'Prisma AIRS', which enhance cloud and AI application security. Additionally, it notes the planned $25 billion acquisition of CyberArk to further expand Palo Alto's cybersecurity capabilities.</w:t>
      </w:r>
      <w:r/>
    </w:p>
    <w:p>
      <w:pPr>
        <w:pStyle w:val="ListNumber"/>
        <w:spacing w:line="240" w:lineRule="auto"/>
        <w:ind w:left="720"/>
      </w:pPr>
      <w:r/>
      <w:hyperlink r:id="rId14">
        <w:r>
          <w:rPr>
            <w:color w:val="0000EE"/>
            <w:u w:val="single"/>
          </w:rPr>
          <w:t>https://www.kiplinger.com/investing/stocks/tech-stocks/602685/cybersecurity-stocks-to-lock-up-growth</w:t>
        </w:r>
      </w:hyperlink>
      <w:r>
        <w:t xml:space="preserve"> - This Kiplinger article highlights six top cybersecurity stocks to consider, including SailPoint, Qualys, SentinelOne, Tenable, Palo Alto Networks, and Check Point Software Technologies. It discusses how these companies are capitalising on the growing demand for robust cybersecurity solutions, particularly in the face of AI-enhanced cyber threats. The article provides insights into each company's market position, recent developments, and investment potential, emphasising the critical need for effective cybersecurity measures in an increasingly digital and AI-driven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nglegrain.com/artificial-intelligence/how-cybersecurity-companies-can-rank-in-ai-threat-intelligence-queries/" TargetMode="External"/><Relationship Id="rId10" Type="http://schemas.openxmlformats.org/officeDocument/2006/relationships/hyperlink" Target="https://wellows.com/blog/ai-search-visibility-for-cybersecurity-brands/" TargetMode="External"/><Relationship Id="rId11" Type="http://schemas.openxmlformats.org/officeDocument/2006/relationships/hyperlink" Target="https://www.geovector.ai/report/cybersecurity-okta" TargetMode="External"/><Relationship Id="rId12" Type="http://schemas.openxmlformats.org/officeDocument/2006/relationships/hyperlink" Target="https://www.researchandmarkets.com/articles/key-companies-in-generative-ai-cybersecurity-market" TargetMode="External"/><Relationship Id="rId13" Type="http://schemas.openxmlformats.org/officeDocument/2006/relationships/hyperlink" Target="https://www.reuters.com/business/palo-altos-forecasts-signals-ai-boost-cybersecurity-tools-2025-08-18/" TargetMode="External"/><Relationship Id="rId14" Type="http://schemas.openxmlformats.org/officeDocument/2006/relationships/hyperlink" Target="https://www.kiplinger.com/investing/stocks/tech-stocks/602685/cybersecurity-stocks-to-lock-up-growt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